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800"/>
        <w:jc w:val="center"/>
      </w:pPr>
      <w:r>
        <w:rPr>
          <w:b/>
          <w:bCs/>
          <w:color w:val="4338CA"/>
          <w:sz w:val="44"/>
          <w:szCs w:val="44"/>
        </w:rPr>
        <w:t xml:space="preserve">Filum</w:t>
      </w:r>
    </w:p>
    <w:p>
      <w:pPr>
        <w:spacing w:after="60"/>
        <w:jc w:val="center"/>
      </w:pPr>
      <w:r>
        <w:rPr>
          <w:b/>
          <w:bCs/>
          <w:sz w:val="34"/>
          <w:szCs w:val="34"/>
        </w:rPr>
        <w:t xml:space="preserve">21 CFR Part 11 matrix</w:t>
      </w:r>
    </w:p>
    <w:p>
      <w:pPr>
        <w:spacing w:after="700"/>
        <w:jc w:val="center"/>
      </w:pPr>
      <w:r>
        <w:rPr>
          <w:color w:val="475569"/>
          <w:sz w:val="22"/>
          <w:szCs w:val="22"/>
        </w:rPr>
        <w:t xml:space="preserve">What the software implements · What belongs to your procedures</w:t>
      </w:r>
    </w:p>
    <w:p>
      <w:pPr>
        <w:pStyle w:val="Heading1"/>
        <w:spacing w:after="140" w:before="320"/>
      </w:pPr>
      <w:r>
        <w:t xml:space="preserve">1. Purpose of this document</w:t>
      </w:r>
    </w:p>
    <w:p>
      <w:pPr>
        <w:spacing w:after="120"/>
      </w:pPr>
      <w:r>
        <w:rPr>
          <w:sz w:val="20"/>
          <w:szCs w:val="20"/>
        </w:rPr>
        <w:t xml:space="preserve">This document describes, clause by clause of 21 CFR Part 11, what the Filum software actually implements and what remains your organisation's responsibility. It is written for your quality manager and can be handed to an auditor as it stands.</w:t>
      </w:r>
    </w:p>
    <w:p>
      <w:pPr>
        <w:spacing w:after="160"/>
      </w:pPr>
      <w:r>
        <w:rPr>
          <w:sz w:val="20"/>
          <w:szCs w:val="20"/>
        </w:rPr>
        <w:t xml:space="preserve">Filum is not — and cannot be — “21 CFR Part 11 compliant”. Compliance belongs to the organisation operating the system, for three cumulative reasons: the §11.100(c) certification is an act of the legal entity whose staff sign, submitted by letter to the FDA; part of the requirements is purely organisational (training, accountability policy, document control, identity verification); and system validation is assessed in your operating environment, not at the vendor's.</w:t>
      </w:r>
    </w:p>
    <w:p>
      <w:pPr>
        <w:spacing w:after="160"/>
      </w:pPr>
      <w:r>
        <w:rPr>
          <w:sz w:val="20"/>
          <w:szCs w:val="20"/>
        </w:rPr>
        <w:t xml:space="preserve">What Filum provides is the set of technical controls your compliance depends on, together with the evidence that they work — and a plain statement of what is not covered. Section 4 lists the open points without dressing them up: an auditor will find them anyway, so they had better come from us.</w:t>
      </w:r>
    </w:p>
    <w:p>
      <w:pPr>
        <w:pStyle w:val="Heading1"/>
        <w:spacing w:after="140" w:before="320"/>
      </w:pPr>
      <w:r>
        <w:t xml:space="preserve">2. How to read the matrix</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2%"/>
            <w:shd w:fill="D1FAE5"/>
            <w:tcMar>
              <w:top w:type="dxa" w:w="80"/>
              <w:left w:type="dxa" w:w="110"/>
              <w:bottom w:type="dxa" w:w="80"/>
              <w:right w:type="dxa" w:w="110"/>
            </w:tcMar>
          </w:tcPr>
          <w:p>
            <w:pPr>
              <w:spacing w:after="0"/>
            </w:pPr>
            <w:r>
              <w:rPr>
                <w:b/>
                <w:bCs/>
                <w:color w:val="047857"/>
                <w:sz w:val="17"/>
                <w:szCs w:val="17"/>
              </w:rPr>
              <w:t xml:space="preserve">Implemented</w:t>
            </w:r>
          </w:p>
        </w:tc>
        <w:tc>
          <w:tcPr>
            <w:tcW w:type="pct" w:w="78%"/>
            <w:tcMar>
              <w:top w:type="dxa" w:w="80"/>
              <w:left w:type="dxa" w:w="110"/>
              <w:bottom w:type="dxa" w:w="80"/>
              <w:right w:type="dxa" w:w="110"/>
            </w:tcMar>
          </w:tcPr>
          <w:p>
            <w:pPr>
              <w:spacing w:after="0"/>
            </w:pPr>
            <w:r>
              <w:rPr>
                <w:sz w:val="17"/>
                <w:szCs w:val="17"/>
              </w:rPr>
              <w:t xml:space="preserve">The software satisfies the clause as far as software can. The behaviour can be verified live.</w:t>
            </w:r>
          </w:p>
        </w:tc>
      </w:tr>
      <w:tr>
        <w:tc>
          <w:tcPr>
            <w:tcW w:type="pct" w:w="22%"/>
            <w:shd w:fill="FEF3C7"/>
            <w:tcMar>
              <w:top w:type="dxa" w:w="80"/>
              <w:left w:type="dxa" w:w="110"/>
              <w:bottom w:type="dxa" w:w="80"/>
              <w:right w:type="dxa" w:w="110"/>
            </w:tcMar>
          </w:tcPr>
          <w:p>
            <w:pPr>
              <w:spacing w:after="0"/>
            </w:pPr>
            <w:r>
              <w:rPr>
                <w:b/>
                <w:bCs/>
                <w:color w:val="B45309"/>
                <w:sz w:val="17"/>
                <w:szCs w:val="17"/>
              </w:rPr>
              <w:t xml:space="preserve">Partial</w:t>
            </w:r>
          </w:p>
        </w:tc>
        <w:tc>
          <w:tcPr>
            <w:tcW w:type="pct" w:w="78%"/>
            <w:tcMar>
              <w:top w:type="dxa" w:w="80"/>
              <w:left w:type="dxa" w:w="110"/>
              <w:bottom w:type="dxa" w:w="80"/>
              <w:right w:type="dxa" w:w="110"/>
            </w:tcMar>
          </w:tcPr>
          <w:p>
            <w:pPr>
              <w:spacing w:after="0"/>
            </w:pPr>
            <w:r>
              <w:rPr>
                <w:sz w:val="17"/>
                <w:szCs w:val="17"/>
              </w:rPr>
              <w:t xml:space="preserve">The software covers part of the clause; the rest is described plainly and appears in section 4.</w:t>
            </w:r>
          </w:p>
        </w:tc>
      </w:tr>
      <w:tr>
        <w:tc>
          <w:tcPr>
            <w:tcW w:type="pct" w:w="22%"/>
            <w:shd w:fill="DBEAFE"/>
            <w:tcMar>
              <w:top w:type="dxa" w:w="80"/>
              <w:left w:type="dxa" w:w="110"/>
              <w:bottom w:type="dxa" w:w="80"/>
              <w:right w:type="dxa" w:w="110"/>
            </w:tcMar>
          </w:tcPr>
          <w:p>
            <w:pPr>
              <w:spacing w:after="0"/>
            </w:pPr>
            <w:r>
              <w:rPr>
                <w:b/>
                <w:bCs/>
                <w:color w:val="1D4ED8"/>
                <w:sz w:val="17"/>
                <w:szCs w:val="17"/>
              </w:rPr>
              <w:t xml:space="preserve">Your organisation</w:t>
            </w:r>
          </w:p>
        </w:tc>
        <w:tc>
          <w:tcPr>
            <w:tcW w:type="pct" w:w="78%"/>
            <w:tcMar>
              <w:top w:type="dxa" w:w="80"/>
              <w:left w:type="dxa" w:w="110"/>
              <w:bottom w:type="dxa" w:w="80"/>
              <w:right w:type="dxa" w:w="110"/>
            </w:tcMar>
          </w:tcPr>
          <w:p>
            <w:pPr>
              <w:spacing w:after="0"/>
            </w:pPr>
            <w:r>
              <w:rPr>
                <w:sz w:val="17"/>
                <w:szCs w:val="17"/>
              </w:rPr>
              <w:t xml:space="preserve">The clause belongs to your procedures. No line of code can satisfy it for you; at best Filum supplies the evidence to attach to your file.</w:t>
            </w:r>
          </w:p>
        </w:tc>
      </w:tr>
      <w:tr>
        <w:tc>
          <w:tcPr>
            <w:tcW w:type="pct" w:w="22%"/>
            <w:shd w:fill="F1F5F9"/>
            <w:tcMar>
              <w:top w:type="dxa" w:w="80"/>
              <w:left w:type="dxa" w:w="110"/>
              <w:bottom w:type="dxa" w:w="80"/>
              <w:right w:type="dxa" w:w="110"/>
            </w:tcMar>
          </w:tcPr>
          <w:p>
            <w:pPr>
              <w:spacing w:after="0"/>
            </w:pPr>
            <w:r>
              <w:rPr>
                <w:b/>
                <w:bCs/>
                <w:color w:val="475569"/>
                <w:sz w:val="17"/>
                <w:szCs w:val="17"/>
              </w:rPr>
              <w:t xml:space="preserve">Out of scope</w:t>
            </w:r>
          </w:p>
        </w:tc>
        <w:tc>
          <w:tcPr>
            <w:tcW w:type="pct" w:w="78%"/>
            <w:tcMar>
              <w:top w:type="dxa" w:w="80"/>
              <w:left w:type="dxa" w:w="110"/>
              <w:bottom w:type="dxa" w:w="80"/>
              <w:right w:type="dxa" w:w="110"/>
            </w:tcMar>
          </w:tcPr>
          <w:p>
            <w:pPr>
              <w:spacing w:after="0"/>
            </w:pPr>
            <w:r>
              <w:rPr>
                <w:sz w:val="17"/>
                <w:szCs w:val="17"/>
              </w:rPr>
              <w:t xml:space="preserve">The clause does not apply to this kind of system, for the reason given.</w:t>
            </w:r>
          </w:p>
        </w:tc>
      </w:tr>
    </w:tbl>
    <w:p>
      <w:pPr>
        <w:pStyle w:val="Heading1"/>
        <w:spacing w:after="140" w:before="320"/>
      </w:pPr>
      <w:r>
        <w:t xml:space="preserve">3. Clause-by-clause matrix</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13%"/>
            <w:shd w:fill="E0E7FF"/>
            <w:tcMar>
              <w:top w:type="dxa" w:w="80"/>
              <w:left w:type="dxa" w:w="110"/>
              <w:bottom w:type="dxa" w:w="80"/>
              <w:right w:type="dxa" w:w="110"/>
            </w:tcMar>
          </w:tcPr>
          <w:p>
            <w:pPr>
              <w:spacing w:after="0"/>
            </w:pPr>
            <w:r>
              <w:rPr>
                <w:b/>
                <w:bCs/>
                <w:sz w:val="17"/>
                <w:szCs w:val="17"/>
              </w:rPr>
              <w:t xml:space="preserve">Clause / status</w:t>
            </w:r>
          </w:p>
        </w:tc>
        <w:tc>
          <w:tcPr>
            <w:tcW w:type="pct" w:w="26%"/>
            <w:shd w:fill="E0E7FF"/>
            <w:tcMar>
              <w:top w:type="dxa" w:w="80"/>
              <w:left w:type="dxa" w:w="110"/>
              <w:bottom w:type="dxa" w:w="80"/>
              <w:right w:type="dxa" w:w="110"/>
            </w:tcMar>
          </w:tcPr>
          <w:p>
            <w:pPr>
              <w:spacing w:after="0"/>
            </w:pPr>
            <w:r>
              <w:rPr>
                <w:b/>
                <w:bCs/>
                <w:sz w:val="17"/>
                <w:szCs w:val="17"/>
              </w:rPr>
              <w:t xml:space="preserve">What the clause requires</w:t>
            </w:r>
          </w:p>
        </w:tc>
        <w:tc>
          <w:tcPr>
            <w:tcW w:type="pct" w:w="34%"/>
            <w:shd w:fill="E0E7FF"/>
            <w:tcMar>
              <w:top w:type="dxa" w:w="80"/>
              <w:left w:type="dxa" w:w="110"/>
              <w:bottom w:type="dxa" w:w="80"/>
              <w:right w:type="dxa" w:w="110"/>
            </w:tcMar>
          </w:tcPr>
          <w:p>
            <w:pPr>
              <w:spacing w:after="0"/>
            </w:pPr>
            <w:r>
              <w:rPr>
                <w:b/>
                <w:bCs/>
                <w:sz w:val="17"/>
                <w:szCs w:val="17"/>
              </w:rPr>
              <w:t xml:space="preserve">What Filum implements</w:t>
            </w:r>
          </w:p>
        </w:tc>
        <w:tc>
          <w:tcPr>
            <w:tcW w:type="pct" w:w="27%"/>
            <w:shd w:fill="E0E7FF"/>
            <w:tcMar>
              <w:top w:type="dxa" w:w="80"/>
              <w:left w:type="dxa" w:w="110"/>
              <w:bottom w:type="dxa" w:w="80"/>
              <w:right w:type="dxa" w:w="110"/>
            </w:tcMar>
          </w:tcPr>
          <w:p>
            <w:pPr>
              <w:spacing w:after="0"/>
            </w:pPr>
            <w:r>
              <w:rPr>
                <w:b/>
                <w:bCs/>
                <w:sz w:val="17"/>
                <w:szCs w:val="17"/>
              </w:rPr>
              <w:t xml:space="preserve">What belongs to your organisation</w:t>
            </w:r>
          </w:p>
        </w:tc>
      </w:tr>
      <w:tr>
        <w:tc>
          <w:tcPr>
            <w:tcW w:type="pct" w:w="13%"/>
            <w:shd w:fill="FEF3C7"/>
            <w:tcMar>
              <w:top w:type="dxa" w:w="80"/>
              <w:left w:type="dxa" w:w="110"/>
              <w:bottom w:type="dxa" w:w="80"/>
              <w:right w:type="dxa" w:w="110"/>
            </w:tcMar>
          </w:tcPr>
          <w:p>
            <w:pPr>
              <w:spacing w:after="60"/>
            </w:pPr>
            <w:r>
              <w:rPr>
                <w:b/>
                <w:bCs/>
                <w:color w:val="4338CA"/>
                <w:sz w:val="17"/>
                <w:szCs w:val="17"/>
              </w:rPr>
              <w:t xml:space="preserve">11.10(a)</w:t>
            </w:r>
          </w:p>
          <w:p>
            <w:pPr>
              <w:spacing w:after="0"/>
            </w:pPr>
            <w:r>
              <w:rPr>
                <w:b/>
                <w:bCs/>
                <w:color w:val="B45309"/>
                <w:sz w:val="15"/>
                <w:szCs w:val="15"/>
              </w:rPr>
              <w:t xml:space="preserve">Partial</w:t>
            </w:r>
          </w:p>
        </w:tc>
        <w:tc>
          <w:tcPr>
            <w:tcW w:type="pct" w:w="26%"/>
            <w:tcMar>
              <w:top w:type="dxa" w:w="80"/>
              <w:left w:type="dxa" w:w="110"/>
              <w:bottom w:type="dxa" w:w="80"/>
              <w:right w:type="dxa" w:w="110"/>
            </w:tcMar>
          </w:tcPr>
          <w:p>
            <w:pPr>
              <w:spacing w:after="0"/>
            </w:pPr>
            <w:r>
              <w:rPr>
                <w:sz w:val="17"/>
                <w:szCs w:val="17"/>
              </w:rPr>
              <w:t xml:space="preserve">Validation of systems to ensure accuracy, reliability, consistent intended performance, and the ability to discern invalid or altered records.</w:t>
            </w:r>
          </w:p>
        </w:tc>
        <w:tc>
          <w:tcPr>
            <w:tcW w:type="pct" w:w="34%"/>
            <w:tcMar>
              <w:top w:type="dxa" w:w="80"/>
              <w:left w:type="dxa" w:w="110"/>
              <w:bottom w:type="dxa" w:w="80"/>
              <w:right w:type="dxa" w:w="110"/>
            </w:tcMar>
          </w:tcPr>
          <w:p>
            <w:pPr>
              <w:spacing w:after="0"/>
            </w:pPr>
            <w:r>
              <w:rPr>
                <w:sz w:val="17"/>
                <w:szCs w:val="17"/>
              </w:rPr>
              <w:t xml:space="preserve">Built-in functional controls: document state machine enforced server-side, writes refused in a frozen document, release refused without a signature, mandatory dry run before any import. The CLSI statistical engine is covered by a replayable suite of test vectors.</w:t>
            </w:r>
          </w:p>
        </w:tc>
        <w:tc>
          <w:tcPr>
            <w:tcW w:type="pct" w:w="27%"/>
            <w:tcMar>
              <w:top w:type="dxa" w:w="80"/>
              <w:left w:type="dxa" w:w="110"/>
              <w:bottom w:type="dxa" w:w="80"/>
              <w:right w:type="dxa" w:w="110"/>
            </w:tcMar>
          </w:tcPr>
          <w:p>
            <w:pPr>
              <w:spacing w:after="0"/>
            </w:pPr>
            <w:r>
              <w:rPr>
                <w:sz w:val="17"/>
                <w:szCs w:val="17"/>
              </w:rPr>
              <w:t xml:space="preserve">Installation, operational and performance qualification (IQ/OQ/PQ) in YOUR environment, the system criticality decision, and the revalidation policy after updates. Filum ships as a self-hosted Docker image: schema migrations apply on container start-up, and post-migration checks belong to your procedures.</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11.10(b)</w:t>
            </w:r>
          </w:p>
          <w:p>
            <w:pPr>
              <w:spacing w:after="0"/>
            </w:pPr>
            <w:r>
              <w:rPr>
                <w:b/>
                <w:bCs/>
                <w:color w:val="047857"/>
                <w:sz w:val="15"/>
                <w:szCs w:val="15"/>
              </w:rPr>
              <w:t xml:space="preserve">Implemented</w:t>
            </w:r>
          </w:p>
        </w:tc>
        <w:tc>
          <w:tcPr>
            <w:tcW w:type="pct" w:w="26%"/>
            <w:tcMar>
              <w:top w:type="dxa" w:w="80"/>
              <w:left w:type="dxa" w:w="110"/>
              <w:bottom w:type="dxa" w:w="80"/>
              <w:right w:type="dxa" w:w="110"/>
            </w:tcMar>
          </w:tcPr>
          <w:p>
            <w:pPr>
              <w:spacing w:after="0"/>
            </w:pPr>
            <w:r>
              <w:rPr>
                <w:sz w:val="17"/>
                <w:szCs w:val="17"/>
              </w:rPr>
              <w:t xml:space="preserve">The ability to generate accurate and complete copies of records in both human-readable and electronic form, suitable for inspection, review and copying by the agency.</w:t>
            </w:r>
          </w:p>
        </w:tc>
        <w:tc>
          <w:tcPr>
            <w:tcW w:type="pct" w:w="34%"/>
            <w:tcMar>
              <w:top w:type="dxa" w:w="80"/>
              <w:left w:type="dxa" w:w="110"/>
              <w:bottom w:type="dxa" w:w="80"/>
              <w:right w:type="dxa" w:w="110"/>
            </w:tcMar>
          </w:tcPr>
          <w:p>
            <w:pPr>
              <w:spacing w:after="0"/>
            </w:pPr>
            <w:r>
              <w:rPr>
                <w:sz w:val="17"/>
                <w:szCs w:val="17"/>
              </w:rPr>
              <w:t xml:space="preserve">A document's content is FROZEN when it enters review: Filum keeps its .docx file byte for byte, together with the SHA-256 fingerprint of the projected content. Downloading serves those stored bytes, never a regeneration; their fingerprint is re-checked on every service, and a file altered on disk is refused rather than served. Release appends the signature manifestations after checking that the content has not moved since the freeze. The live projection stays available and then carries, on its first page, the notice “WORKING VIEW — this file is not the approved record”. Other exports generated from the database, authenticated and logged: DHF, risk management file, nonconformity record, CAPA report, traceability matrix as CSV, audit trail as CSV, and byte-for-byte download of the original data files.</w:t>
            </w:r>
          </w:p>
        </w:tc>
        <w:tc>
          <w:tcPr>
            <w:tcW w:type="pct" w:w="27%"/>
            <w:tcMar>
              <w:top w:type="dxa" w:w="80"/>
              <w:left w:type="dxa" w:w="110"/>
              <w:bottom w:type="dxa" w:w="80"/>
              <w:right w:type="dxa" w:w="110"/>
            </w:tcMar>
          </w:tcPr>
          <w:p>
            <w:pPr>
              <w:spacing w:after="0"/>
            </w:pPr>
            <w:r>
              <w:rPr>
                <w:sz w:val="17"/>
                <w:szCs w:val="17"/>
              </w:rPr>
              <w:t xml:space="preserve">Deciding which format is handed to the inspector and, where applicable, how it is kept outside the system. Backing up the file volume alongside the database: the frozen records live there.</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11.10(c)</w:t>
            </w:r>
          </w:p>
          <w:p>
            <w:pPr>
              <w:spacing w:after="0"/>
            </w:pPr>
            <w:r>
              <w:rPr>
                <w:b/>
                <w:bCs/>
                <w:color w:val="047857"/>
                <w:sz w:val="15"/>
                <w:szCs w:val="15"/>
              </w:rPr>
              <w:t xml:space="preserve">Implemented</w:t>
            </w:r>
          </w:p>
        </w:tc>
        <w:tc>
          <w:tcPr>
            <w:tcW w:type="pct" w:w="26%"/>
            <w:tcMar>
              <w:top w:type="dxa" w:w="80"/>
              <w:left w:type="dxa" w:w="110"/>
              <w:bottom w:type="dxa" w:w="80"/>
              <w:right w:type="dxa" w:w="110"/>
            </w:tcMar>
          </w:tcPr>
          <w:p>
            <w:pPr>
              <w:spacing w:after="0"/>
            </w:pPr>
            <w:r>
              <w:rPr>
                <w:sz w:val="17"/>
                <w:szCs w:val="17"/>
              </w:rPr>
              <w:t xml:space="preserve">Protection of records to enable their accurate and ready retrieval throughout the records retention period.</w:t>
            </w:r>
          </w:p>
        </w:tc>
        <w:tc>
          <w:tcPr>
            <w:tcW w:type="pct" w:w="34%"/>
            <w:tcMar>
              <w:top w:type="dxa" w:w="80"/>
              <w:left w:type="dxa" w:w="110"/>
              <w:bottom w:type="dxa" w:w="80"/>
              <w:right w:type="dxa" w:w="110"/>
            </w:tcMar>
          </w:tcPr>
          <w:p>
            <w:pPr>
              <w:spacing w:after="0"/>
            </w:pPr>
            <w:r>
              <w:rPr>
                <w:sz w:val="17"/>
                <w:szCs w:val="17"/>
              </w:rPr>
              <w:t xml:space="preserve">No purge, no expiry, no automatic deletion: a frozen record goes in and does not come out, superseded freezes included. A released document, or one carrying a signature, cannot be deleted — the compliant route is a revision; permitted deletions require the Administrator role AND a reason, and keep a full snapshot in the audit trail. The retention period is DECLARED (duration, basis, your procedure reference) and carried as a due date onto every archived record, without ever triggering a purge. An inspection archive returns the frozen bytes, a PDF/A-2b ARCHIVAL COPY of each record alongside it, a manifest, the file's exports, the complete audit trail and a fingerprint file in sha256sum format: it is verified without Filum, using the operating system's own tool. The PDF/A copy embeds its font and colour profile, carries both digests of the record, and states that it is NOT the record — the signature covers the digest of the frozen content, not that rendering. A record altered on disk is marked ALTERED there and kept, never silently removed. A legal hold suspends every deletion in the installation, including the purge of import files launched from the console. The archive anchor is submitted to the timestamping authority configured by the customer, which returns an RFC 3161 token counter-signing the date that fingerprint existed; Filum checks that the token attests that very fingerprint and the requested nonce, keeps it as is inside the archive, and gives the openssl command that verifies it. An unreachable authority never blocks extraction: the archive is produced without a token and says so.</w:t>
            </w:r>
          </w:p>
        </w:tc>
        <w:tc>
          <w:tcPr>
            <w:tcW w:type="pct" w:w="27%"/>
            <w:tcMar>
              <w:top w:type="dxa" w:w="80"/>
              <w:left w:type="dxa" w:w="110"/>
              <w:bottom w:type="dxa" w:w="80"/>
              <w:right w:type="dxa" w:w="110"/>
            </w:tcMar>
          </w:tcPr>
          <w:p>
            <w:pPr>
              <w:spacing w:after="0"/>
            </w:pPr>
            <w:r>
              <w:rPr>
                <w:sz w:val="17"/>
                <w:szCs w:val="17"/>
              </w:rPr>
              <w:t xml:space="preserve">Deciding the applicable period — ISO 13485 § 4.2.5 (at least the lifetime of the device as you define it, and never less than two years after its release; this is also the US rule since the QMSR removed § 820.180 in February 2026) and, on the European market, MDR art. 10(8) — and entering it in the settings; producing an archive at the moments that matter — management review, major upgrade, programme closure, decommissioning — and recording the fingerprint of its fingerprint list outside the system; keeping the archive on media that outlives the server; placing a legal hold when your procedure requires it. The data resides on your infrastructure, in two Docker volumes, whose joint backup remains the complete copy of the system.</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11.10(d)</w:t>
            </w:r>
          </w:p>
          <w:p>
            <w:pPr>
              <w:spacing w:after="0"/>
            </w:pPr>
            <w:r>
              <w:rPr>
                <w:b/>
                <w:bCs/>
                <w:color w:val="047857"/>
                <w:sz w:val="15"/>
                <w:szCs w:val="15"/>
              </w:rPr>
              <w:t xml:space="preserve">Implemented</w:t>
            </w:r>
          </w:p>
        </w:tc>
        <w:tc>
          <w:tcPr>
            <w:tcW w:type="pct" w:w="26%"/>
            <w:tcMar>
              <w:top w:type="dxa" w:w="80"/>
              <w:left w:type="dxa" w:w="110"/>
              <w:bottom w:type="dxa" w:w="80"/>
              <w:right w:type="dxa" w:w="110"/>
            </w:tcMar>
          </w:tcPr>
          <w:p>
            <w:pPr>
              <w:spacing w:after="0"/>
            </w:pPr>
            <w:r>
              <w:rPr>
                <w:sz w:val="17"/>
                <w:szCs w:val="17"/>
              </w:rPr>
              <w:t xml:space="preserve">Limiting system access to authorised individuals.</w:t>
            </w:r>
          </w:p>
        </w:tc>
        <w:tc>
          <w:tcPr>
            <w:tcW w:type="pct" w:w="34%"/>
            <w:tcMar>
              <w:top w:type="dxa" w:w="80"/>
              <w:left w:type="dxa" w:w="110"/>
              <w:bottom w:type="dxa" w:w="80"/>
              <w:right w:type="dxa" w:w="110"/>
            </w:tcMar>
          </w:tcPr>
          <w:p>
            <w:pPr>
              <w:spacing w:after="0"/>
            </w:pPr>
            <w:r>
              <w:rPr>
                <w:sz w:val="17"/>
                <w:szCs w:val="17"/>
              </w:rPr>
              <w:t xml:space="preserve">Authentication required on every page and every export route, without exception. Session held in the database behind an opaque token, httpOnly cookie marked secure behind TLS, lifetime configurable at install time, revoked when an account is deactivated, when a reset token is issued and when a password is changed. Passwords hashed with scrypt using a random salt and constant-time comparison.</w:t>
            </w:r>
          </w:p>
        </w:tc>
        <w:tc>
          <w:tcPr>
            <w:tcW w:type="pct" w:w="27%"/>
            <w:tcMar>
              <w:top w:type="dxa" w:w="80"/>
              <w:left w:type="dxa" w:w="110"/>
              <w:bottom w:type="dxa" w:w="80"/>
              <w:right w:type="dxa" w:w="110"/>
            </w:tcMar>
          </w:tcPr>
          <w:p>
            <w:pPr>
              <w:spacing w:after="0"/>
            </w:pPr>
            <w:r>
              <w:rPr>
                <w:sz w:val="17"/>
                <w:szCs w:val="17"/>
              </w:rPr>
              <w:t xml:space="preserve">Assigning accounts by name, prohibiting sharing, reviewing access periodically, withdrawing it when someone leaves, and securing the hosting infrastructure (TLS, network, workstations).</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11.10(e)</w:t>
            </w:r>
          </w:p>
          <w:p>
            <w:pPr>
              <w:spacing w:after="0"/>
            </w:pPr>
            <w:r>
              <w:rPr>
                <w:b/>
                <w:bCs/>
                <w:color w:val="047857"/>
                <w:sz w:val="15"/>
                <w:szCs w:val="15"/>
              </w:rPr>
              <w:t xml:space="preserve">Implemented</w:t>
            </w:r>
          </w:p>
        </w:tc>
        <w:tc>
          <w:tcPr>
            <w:tcW w:type="pct" w:w="26%"/>
            <w:tcMar>
              <w:top w:type="dxa" w:w="80"/>
              <w:left w:type="dxa" w:w="110"/>
              <w:bottom w:type="dxa" w:w="80"/>
              <w:right w:type="dxa" w:w="110"/>
            </w:tcMar>
          </w:tcPr>
          <w:p>
            <w:pPr>
              <w:spacing w:after="0"/>
            </w:pPr>
            <w:r>
              <w:rPr>
                <w:sz w:val="17"/>
                <w:szCs w:val="17"/>
              </w:rPr>
              <w:t xml:space="preserve">Use of secure, computer-generated, time-stamped audit trails to independently record the date and time of operator entries and actions that create, modify or delete records. Record changes shall not obscure previously recorded information; audit trail documentation shall be retained for at least as long as the records themselves and be available for review and copying.</w:t>
            </w:r>
          </w:p>
        </w:tc>
        <w:tc>
          <w:tcPr>
            <w:tcW w:type="pct" w:w="34%"/>
            <w:tcMar>
              <w:top w:type="dxa" w:w="80"/>
              <w:left w:type="dxa" w:w="110"/>
              <w:bottom w:type="dxa" w:w="80"/>
              <w:right w:type="dxa" w:w="110"/>
            </w:tcMar>
          </w:tcPr>
          <w:p>
            <w:pPr>
              <w:spacing w:after="0"/>
            </w:pPr>
            <w:r>
              <w:rPr>
                <w:sz w:val="17"/>
                <w:szCs w:val="17"/>
              </w:rPr>
              <w:t xml:space="preserve">Timestamps set by the database, never by the user: no form and no parameter can carry a date. The trail is append-only inside the application — no function modifies or deletes an entry; a targeted revert creates a NEW entry. Previous values are recorded on modification. Every write carries its author's name, bulk import included (one entry per imported row). Viewing is filterable by actor, period, entity and action, with a complete CSV export — the export is itself logged. Each entry further carries the fingerprint of the previous one: the audit screen verifies the chain on every view and reports any break with its rank, and the CSV export carries the rank and both fingerprints of every entry, so the chain can be recomputed outside Filum from that file alone. Every write to the trail passes through a single chokepoint; the two privileged server-console tools use a mirror implementation whose equivalence is proven by a qualification case. The narrative of each entry is finally READABLE in the reader's language: the entry carries its message key and arguments — both covered by the fingerprint — and the text is produced on screen, on export and in the archive. Entries recorded before this version keep their original language: a record is not rewritten. The trail is finally REVIEWED, and the review is a signed record: each review covers a range of RANKS — never dates — and starts exactly at the rank following the previous one, so no entry can be written into the gap between two reviews; any coverage gap is computed and displayed. Risk-based triage rules designate the entries to be read one by one (security, deletion, revert, authorisations, organisation settings, data leaving, bulk import, reopening of a released record, review undone, unattributed write); the rest is counted, and the record says so rather than implying a line-by-line reading. Every selected entry receives a reasoned verdict, closing requires the password to be re-entered and copies the digest of the reviewed content, and the distance between the last covered rank and the trail head is shown permanently on the log screen.</w:t>
            </w:r>
          </w:p>
        </w:tc>
        <w:tc>
          <w:tcPr>
            <w:tcW w:type="pct" w:w="27%"/>
            <w:tcMar>
              <w:top w:type="dxa" w:w="80"/>
              <w:left w:type="dxa" w:w="110"/>
              <w:bottom w:type="dxa" w:w="80"/>
              <w:right w:type="dxa" w:w="110"/>
            </w:tcMar>
          </w:tcPr>
          <w:p>
            <w:pPr>
              <w:spacing w:after="0"/>
            </w:pPr>
            <w:r>
              <w:rPr>
                <w:sz w:val="17"/>
                <w:szCs w:val="17"/>
              </w:rPr>
              <w:t xml:space="preserve">Including the audit trail in the backup scope and prohibiting direct database access outside the application. Declaring the review FREQUENCY — Filum imposes none, the right period depending on your activity volume — and passing the judgement: Filum presents and records, it cannot tell a legitimate change from a suspicious one. Also deciding whether the reviewer's independence suffices: it is measured and recorded on every review, never enforced.</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11.10(f)</w:t>
            </w:r>
          </w:p>
          <w:p>
            <w:pPr>
              <w:spacing w:after="0"/>
            </w:pPr>
            <w:r>
              <w:rPr>
                <w:b/>
                <w:bCs/>
                <w:color w:val="047857"/>
                <w:sz w:val="15"/>
                <w:szCs w:val="15"/>
              </w:rPr>
              <w:t xml:space="preserve">Implemented</w:t>
            </w:r>
          </w:p>
        </w:tc>
        <w:tc>
          <w:tcPr>
            <w:tcW w:type="pct" w:w="26%"/>
            <w:tcMar>
              <w:top w:type="dxa" w:w="80"/>
              <w:left w:type="dxa" w:w="110"/>
              <w:bottom w:type="dxa" w:w="80"/>
              <w:right w:type="dxa" w:w="110"/>
            </w:tcMar>
          </w:tcPr>
          <w:p>
            <w:pPr>
              <w:spacing w:after="0"/>
            </w:pPr>
            <w:r>
              <w:rPr>
                <w:sz w:val="17"/>
                <w:szCs w:val="17"/>
              </w:rPr>
              <w:t xml:space="preserve">Use of operational system checks to enforce permitted sequencing of steps and events, as appropriate.</w:t>
            </w:r>
          </w:p>
        </w:tc>
        <w:tc>
          <w:tcPr>
            <w:tcW w:type="pct" w:w="34%"/>
            <w:tcMar>
              <w:top w:type="dxa" w:w="80"/>
              <w:left w:type="dxa" w:w="110"/>
              <w:bottom w:type="dxa" w:w="80"/>
              <w:right w:type="dxa" w:w="110"/>
            </w:tcMar>
          </w:tcPr>
          <w:p>
            <w:pPr>
              <w:spacing w:after="0"/>
            </w:pPr>
            <w:r>
              <w:rPr>
                <w:sz w:val="17"/>
                <w:szCs w:val="17"/>
              </w:rPr>
              <w:t xml:space="preserve">Document lifecycle with states enforced server-side: Draft → In review → Released, with no direct path. Releasing requires at least one signature applied, no missing signature and no open comment. Any step back (return to draft, new revision) invalidates the signatures and requires a justification. Status and revision cannot be rewritten by a targeted revert.</w:t>
            </w:r>
          </w:p>
        </w:tc>
        <w:tc>
          <w:tcPr>
            <w:tcW w:type="pct" w:w="27%"/>
            <w:tcMar>
              <w:top w:type="dxa" w:w="80"/>
              <w:left w:type="dxa" w:w="110"/>
              <w:bottom w:type="dxa" w:w="80"/>
              <w:right w:type="dxa" w:w="110"/>
            </w:tcMar>
          </w:tcPr>
          <w:p>
            <w:pPr>
              <w:spacing w:after="0"/>
            </w:pPr>
            <w:r>
              <w:rPr>
                <w:sz w:val="17"/>
                <w:szCs w:val="17"/>
              </w:rPr>
              <w:t xml:space="preserve">Defining in your procedures who requests, who reviews and who approves each document type.</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11.10(g)</w:t>
            </w:r>
          </w:p>
          <w:p>
            <w:pPr>
              <w:spacing w:after="0"/>
            </w:pPr>
            <w:r>
              <w:rPr>
                <w:b/>
                <w:bCs/>
                <w:color w:val="047857"/>
                <w:sz w:val="15"/>
                <w:szCs w:val="15"/>
              </w:rPr>
              <w:t xml:space="preserve">Implemented</w:t>
            </w:r>
          </w:p>
        </w:tc>
        <w:tc>
          <w:tcPr>
            <w:tcW w:type="pct" w:w="26%"/>
            <w:tcMar>
              <w:top w:type="dxa" w:w="80"/>
              <w:left w:type="dxa" w:w="110"/>
              <w:bottom w:type="dxa" w:w="80"/>
              <w:right w:type="dxa" w:w="110"/>
            </w:tcMar>
          </w:tcPr>
          <w:p>
            <w:pPr>
              <w:spacing w:after="0"/>
            </w:pPr>
            <w:r>
              <w:rPr>
                <w:sz w:val="17"/>
                <w:szCs w:val="17"/>
              </w:rPr>
              <w:t xml:space="preserve">Use of authority checks to ensure that only authorised individuals can use the system, electronically sign a record, access the operation or device, alter a record, or perform the operation at hand.</w:t>
            </w:r>
          </w:p>
        </w:tc>
        <w:tc>
          <w:tcPr>
            <w:tcW w:type="pct" w:w="34%"/>
            <w:tcMar>
              <w:top w:type="dxa" w:w="80"/>
              <w:left w:type="dxa" w:w="110"/>
              <w:bottom w:type="dxa" w:w="80"/>
              <w:right w:type="dxa" w:w="110"/>
            </w:tcMar>
          </w:tcPr>
          <w:p>
            <w:pPr>
              <w:spacing w:after="0"/>
            </w:pPr>
            <w:r>
              <w:rPr>
                <w:sz w:val="17"/>
                <w:szCs w:val="17"/>
              </w:rPr>
              <w:t xml:space="preserve">Four ordered roles (Viewer, Editor, Approver, Administrator). The guard sits SERVER-SIDE as the first statement of every action, not merely in the interface: hiding a button protects nothing. Contextual elevation for sensitive operations (renumbering, deletion, CAPA transitions). A Viewer cannot sign, and a signature can only be requested from an active account holding sign-in access.</w:t>
            </w:r>
          </w:p>
        </w:tc>
        <w:tc>
          <w:tcPr>
            <w:tcW w:type="pct" w:w="27%"/>
            <w:tcMar>
              <w:top w:type="dxa" w:w="80"/>
              <w:left w:type="dxa" w:w="110"/>
              <w:bottom w:type="dxa" w:w="80"/>
              <w:right w:type="dxa" w:w="110"/>
            </w:tcMar>
          </w:tcPr>
          <w:p>
            <w:pPr>
              <w:spacing w:after="0"/>
            </w:pPr>
            <w:r>
              <w:rPr>
                <w:sz w:val="17"/>
                <w:szCs w:val="17"/>
              </w:rPr>
              <w:t xml:space="preserve">Defining and approving the mapping between your quality functions and the four roles.</w:t>
            </w:r>
          </w:p>
        </w:tc>
      </w:tr>
      <w:tr>
        <w:tc>
          <w:tcPr>
            <w:tcW w:type="pct" w:w="13%"/>
            <w:shd w:fill="FEF3C7"/>
            <w:tcMar>
              <w:top w:type="dxa" w:w="80"/>
              <w:left w:type="dxa" w:w="110"/>
              <w:bottom w:type="dxa" w:w="80"/>
              <w:right w:type="dxa" w:w="110"/>
            </w:tcMar>
          </w:tcPr>
          <w:p>
            <w:pPr>
              <w:spacing w:after="60"/>
            </w:pPr>
            <w:r>
              <w:rPr>
                <w:b/>
                <w:bCs/>
                <w:color w:val="4338CA"/>
                <w:sz w:val="17"/>
                <w:szCs w:val="17"/>
              </w:rPr>
              <w:t xml:space="preserve">11.10(h)</w:t>
            </w:r>
          </w:p>
          <w:p>
            <w:pPr>
              <w:spacing w:after="0"/>
            </w:pPr>
            <w:r>
              <w:rPr>
                <w:b/>
                <w:bCs/>
                <w:color w:val="B45309"/>
                <w:sz w:val="15"/>
                <w:szCs w:val="15"/>
              </w:rPr>
              <w:t xml:space="preserve">Partial</w:t>
            </w:r>
          </w:p>
        </w:tc>
        <w:tc>
          <w:tcPr>
            <w:tcW w:type="pct" w:w="26%"/>
            <w:tcMar>
              <w:top w:type="dxa" w:w="80"/>
              <w:left w:type="dxa" w:w="110"/>
              <w:bottom w:type="dxa" w:w="80"/>
              <w:right w:type="dxa" w:w="110"/>
            </w:tcMar>
          </w:tcPr>
          <w:p>
            <w:pPr>
              <w:spacing w:after="0"/>
            </w:pPr>
            <w:r>
              <w:rPr>
                <w:sz w:val="17"/>
                <w:szCs w:val="17"/>
              </w:rPr>
              <w:t xml:space="preserve">Use of device checks to determine, as appropriate, the validity of the source of data input or operational instruction.</w:t>
            </w:r>
          </w:p>
        </w:tc>
        <w:tc>
          <w:tcPr>
            <w:tcW w:type="pct" w:w="34%"/>
            <w:tcMar>
              <w:top w:type="dxa" w:w="80"/>
              <w:left w:type="dxa" w:w="110"/>
              <w:bottom w:type="dxa" w:w="80"/>
              <w:right w:type="dxa" w:w="110"/>
            </w:tcMar>
          </w:tcPr>
          <w:p>
            <w:pPr>
              <w:spacing w:after="0"/>
            </w:pPr>
            <w:r>
              <w:rPr>
                <w:sz w:val="17"/>
                <w:szCs w:val="17"/>
              </w:rPr>
              <w:t xml:space="preserve">Imported test data keeps its original source file, downloadable byte for byte, and that download is logged. File-based data migration goes through a mandatory dry run that rejects non-conforming rows before any write.</w:t>
            </w:r>
          </w:p>
        </w:tc>
        <w:tc>
          <w:tcPr>
            <w:tcW w:type="pct" w:w="27%"/>
            <w:tcMar>
              <w:top w:type="dxa" w:w="80"/>
              <w:left w:type="dxa" w:w="110"/>
              <w:bottom w:type="dxa" w:w="80"/>
              <w:right w:type="dxa" w:w="110"/>
            </w:tcMar>
          </w:tcPr>
          <w:p>
            <w:pPr>
              <w:spacing w:after="0"/>
            </w:pPr>
            <w:r>
              <w:rPr>
                <w:sz w:val="17"/>
                <w:szCs w:val="17"/>
              </w:rPr>
              <w:t xml:space="preserve">Verifying the origin of uploaded files and the calibration of the instruments producing them. Filum queries no instrument directly.</w:t>
            </w:r>
          </w:p>
        </w:tc>
      </w:tr>
      <w:tr>
        <w:tc>
          <w:tcPr>
            <w:tcW w:type="pct" w:w="13%"/>
            <w:shd w:fill="DBEAFE"/>
            <w:tcMar>
              <w:top w:type="dxa" w:w="80"/>
              <w:left w:type="dxa" w:w="110"/>
              <w:bottom w:type="dxa" w:w="80"/>
              <w:right w:type="dxa" w:w="110"/>
            </w:tcMar>
          </w:tcPr>
          <w:p>
            <w:pPr>
              <w:spacing w:after="60"/>
            </w:pPr>
            <w:r>
              <w:rPr>
                <w:b/>
                <w:bCs/>
                <w:color w:val="4338CA"/>
                <w:sz w:val="17"/>
                <w:szCs w:val="17"/>
              </w:rPr>
              <w:t xml:space="preserve">11.10(i)</w:t>
            </w:r>
          </w:p>
          <w:p>
            <w:pPr>
              <w:spacing w:after="0"/>
            </w:pPr>
            <w:r>
              <w:rPr>
                <w:b/>
                <w:bCs/>
                <w:color w:val="1D4ED8"/>
                <w:sz w:val="15"/>
                <w:szCs w:val="15"/>
              </w:rPr>
              <w:t xml:space="preserve">Your organisation</w:t>
            </w:r>
          </w:p>
        </w:tc>
        <w:tc>
          <w:tcPr>
            <w:tcW w:type="pct" w:w="26%"/>
            <w:tcMar>
              <w:top w:type="dxa" w:w="80"/>
              <w:left w:type="dxa" w:w="110"/>
              <w:bottom w:type="dxa" w:w="80"/>
              <w:right w:type="dxa" w:w="110"/>
            </w:tcMar>
          </w:tcPr>
          <w:p>
            <w:pPr>
              <w:spacing w:after="0"/>
            </w:pPr>
            <w:r>
              <w:rPr>
                <w:sz w:val="17"/>
                <w:szCs w:val="17"/>
              </w:rPr>
              <w:t xml:space="preserve">Determination that persons who develop, maintain or use electronic record / electronic signature systems have the education, training and experience to perform their assigned tasks.</w:t>
            </w:r>
          </w:p>
        </w:tc>
        <w:tc>
          <w:tcPr>
            <w:tcW w:type="pct" w:w="34%"/>
            <w:tcMar>
              <w:top w:type="dxa" w:w="80"/>
              <w:left w:type="dxa" w:w="110"/>
              <w:bottom w:type="dxa" w:w="80"/>
              <w:right w:type="dxa" w:w="110"/>
            </w:tcMar>
          </w:tcPr>
          <w:p>
            <w:pPr>
              <w:spacing w:after="0"/>
            </w:pPr>
            <w:r>
              <w:rPr>
                <w:sz w:val="17"/>
                <w:szCs w:val="17"/>
              </w:rPr>
              <w:t xml:space="preserve">Filum models neither training nor authorisation: the assigned role grants privileges, it attests to no qualification. What the software does provide is the evidence of who was entitled to do what, and since when — a named list of accounts with role and status, dated audit entries for account creation and role changes, and a sign-in log.</w:t>
            </w:r>
          </w:p>
        </w:tc>
        <w:tc>
          <w:tcPr>
            <w:tcW w:type="pct" w:w="27%"/>
            <w:tcMar>
              <w:top w:type="dxa" w:w="80"/>
              <w:left w:type="dxa" w:w="110"/>
              <w:bottom w:type="dxa" w:w="80"/>
              <w:right w:type="dxa" w:w="110"/>
            </w:tcMar>
          </w:tcPr>
          <w:p>
            <w:pPr>
              <w:spacing w:after="0"/>
            </w:pPr>
            <w:r>
              <w:rPr>
                <w:sz w:val="17"/>
                <w:szCs w:val="17"/>
              </w:rPr>
              <w:t xml:space="preserve">Training records, job descriptions, evidence of experience, and authorisation to use Filum.</w:t>
            </w:r>
          </w:p>
        </w:tc>
      </w:tr>
      <w:tr>
        <w:tc>
          <w:tcPr>
            <w:tcW w:type="pct" w:w="13%"/>
            <w:shd w:fill="DBEAFE"/>
            <w:tcMar>
              <w:top w:type="dxa" w:w="80"/>
              <w:left w:type="dxa" w:w="110"/>
              <w:bottom w:type="dxa" w:w="80"/>
              <w:right w:type="dxa" w:w="110"/>
            </w:tcMar>
          </w:tcPr>
          <w:p>
            <w:pPr>
              <w:spacing w:after="60"/>
            </w:pPr>
            <w:r>
              <w:rPr>
                <w:b/>
                <w:bCs/>
                <w:color w:val="4338CA"/>
                <w:sz w:val="17"/>
                <w:szCs w:val="17"/>
              </w:rPr>
              <w:t xml:space="preserve">11.10(j)</w:t>
            </w:r>
          </w:p>
          <w:p>
            <w:pPr>
              <w:spacing w:after="0"/>
            </w:pPr>
            <w:r>
              <w:rPr>
                <w:b/>
                <w:bCs/>
                <w:color w:val="1D4ED8"/>
                <w:sz w:val="15"/>
                <w:szCs w:val="15"/>
              </w:rPr>
              <w:t xml:space="preserve">Your organisation</w:t>
            </w:r>
          </w:p>
        </w:tc>
        <w:tc>
          <w:tcPr>
            <w:tcW w:type="pct" w:w="26%"/>
            <w:tcMar>
              <w:top w:type="dxa" w:w="80"/>
              <w:left w:type="dxa" w:w="110"/>
              <w:bottom w:type="dxa" w:w="80"/>
              <w:right w:type="dxa" w:w="110"/>
            </w:tcMar>
          </w:tcPr>
          <w:p>
            <w:pPr>
              <w:spacing w:after="0"/>
            </w:pPr>
            <w:r>
              <w:rPr>
                <w:sz w:val="17"/>
                <w:szCs w:val="17"/>
              </w:rPr>
              <w:t xml:space="preserve">The establishment of, and adherence to, written policies that hold individuals accountable for actions initiated under their electronic signatures.</w:t>
            </w:r>
          </w:p>
        </w:tc>
        <w:tc>
          <w:tcPr>
            <w:tcW w:type="pct" w:w="34%"/>
            <w:tcMar>
              <w:top w:type="dxa" w:w="80"/>
              <w:left w:type="dxa" w:w="110"/>
              <w:bottom w:type="dxa" w:w="80"/>
              <w:right w:type="dxa" w:w="110"/>
            </w:tcMar>
          </w:tcPr>
          <w:p>
            <w:pPr>
              <w:spacing w:after="0"/>
            </w:pPr>
            <w:r>
              <w:rPr>
                <w:sz w:val="17"/>
                <w:szCs w:val="17"/>
              </w:rPr>
              <w:t xml:space="preserve">A written policy cannot be replaced by software. Filum supplies its evidentiary support: every write attributed by name, no way to sign in someone else's place, password re-authentication at every signature, and session expiry and revocation.</w:t>
            </w:r>
          </w:p>
        </w:tc>
        <w:tc>
          <w:tcPr>
            <w:tcW w:type="pct" w:w="27%"/>
            <w:tcMar>
              <w:top w:type="dxa" w:w="80"/>
              <w:left w:type="dxa" w:w="110"/>
              <w:bottom w:type="dxa" w:w="80"/>
              <w:right w:type="dxa" w:w="110"/>
            </w:tcMar>
          </w:tcPr>
          <w:p>
            <w:pPr>
              <w:spacing w:after="0"/>
            </w:pPr>
            <w:r>
              <w:rPr>
                <w:sz w:val="17"/>
                <w:szCs w:val="17"/>
              </w:rPr>
              <w:t xml:space="preserve">Writing and having the accountability policy signed, including session-custody rules and the prohibition on account sharing.</w:t>
            </w:r>
          </w:p>
        </w:tc>
      </w:tr>
      <w:tr>
        <w:tc>
          <w:tcPr>
            <w:tcW w:type="pct" w:w="13%"/>
            <w:shd w:fill="DBEAFE"/>
            <w:tcMar>
              <w:top w:type="dxa" w:w="80"/>
              <w:left w:type="dxa" w:w="110"/>
              <w:bottom w:type="dxa" w:w="80"/>
              <w:right w:type="dxa" w:w="110"/>
            </w:tcMar>
          </w:tcPr>
          <w:p>
            <w:pPr>
              <w:spacing w:after="60"/>
            </w:pPr>
            <w:r>
              <w:rPr>
                <w:b/>
                <w:bCs/>
                <w:color w:val="4338CA"/>
                <w:sz w:val="17"/>
                <w:szCs w:val="17"/>
              </w:rPr>
              <w:t xml:space="preserve">11.10(k)</w:t>
            </w:r>
          </w:p>
          <w:p>
            <w:pPr>
              <w:spacing w:after="0"/>
            </w:pPr>
            <w:r>
              <w:rPr>
                <w:b/>
                <w:bCs/>
                <w:color w:val="1D4ED8"/>
                <w:sz w:val="15"/>
                <w:szCs w:val="15"/>
              </w:rPr>
              <w:t xml:space="preserve">Your organisation</w:t>
            </w:r>
          </w:p>
        </w:tc>
        <w:tc>
          <w:tcPr>
            <w:tcW w:type="pct" w:w="26%"/>
            <w:tcMar>
              <w:top w:type="dxa" w:w="80"/>
              <w:left w:type="dxa" w:w="110"/>
              <w:bottom w:type="dxa" w:w="80"/>
              <w:right w:type="dxa" w:w="110"/>
            </w:tcMar>
          </w:tcPr>
          <w:p>
            <w:pPr>
              <w:spacing w:after="0"/>
            </w:pPr>
            <w:r>
              <w:rPr>
                <w:sz w:val="17"/>
                <w:szCs w:val="17"/>
              </w:rPr>
              <w:t xml:space="preserve">Use of appropriate controls over systems documentation, including distribution, access, revision, and an audit trail of changes to that documentation.</w:t>
            </w:r>
          </w:p>
        </w:tc>
        <w:tc>
          <w:tcPr>
            <w:tcW w:type="pct" w:w="34%"/>
            <w:tcMar>
              <w:top w:type="dxa" w:w="80"/>
              <w:left w:type="dxa" w:w="110"/>
              <w:bottom w:type="dxa" w:w="80"/>
              <w:right w:type="dxa" w:w="110"/>
            </w:tcMar>
          </w:tcPr>
          <w:p>
            <w:pPr>
              <w:spacing w:after="0"/>
            </w:pPr>
            <w:r>
              <w:rPr>
                <w:sz w:val="17"/>
                <w:szCs w:val="17"/>
              </w:rPr>
              <w:t xml:space="preserve">The user manual, the installation guide and this matrix are delivered outside the application, versioned by the vendor and supplied with every release.</w:t>
            </w:r>
          </w:p>
        </w:tc>
        <w:tc>
          <w:tcPr>
            <w:tcW w:type="pct" w:w="27%"/>
            <w:tcMar>
              <w:top w:type="dxa" w:w="80"/>
              <w:left w:type="dxa" w:w="110"/>
              <w:bottom w:type="dxa" w:w="80"/>
              <w:right w:type="dxa" w:w="110"/>
            </w:tcMar>
          </w:tcPr>
          <w:p>
            <w:pPr>
              <w:spacing w:after="0"/>
            </w:pPr>
            <w:r>
              <w:rPr>
                <w:sz w:val="17"/>
                <w:szCs w:val="17"/>
              </w:rPr>
              <w:t xml:space="preserve">Controlled distribution of this documentation, withdrawal of obsolete versions, and application of your own document control procedure.</w:t>
            </w:r>
          </w:p>
        </w:tc>
      </w:tr>
      <w:tr>
        <w:tc>
          <w:tcPr>
            <w:tcW w:type="pct" w:w="13%"/>
            <w:shd w:fill="F1F5F9"/>
            <w:tcMar>
              <w:top w:type="dxa" w:w="80"/>
              <w:left w:type="dxa" w:w="110"/>
              <w:bottom w:type="dxa" w:w="80"/>
              <w:right w:type="dxa" w:w="110"/>
            </w:tcMar>
          </w:tcPr>
          <w:p>
            <w:pPr>
              <w:spacing w:after="60"/>
            </w:pPr>
            <w:r>
              <w:rPr>
                <w:b/>
                <w:bCs/>
                <w:color w:val="4338CA"/>
                <w:sz w:val="17"/>
                <w:szCs w:val="17"/>
              </w:rPr>
              <w:t xml:space="preserve">11.30</w:t>
            </w:r>
          </w:p>
          <w:p>
            <w:pPr>
              <w:spacing w:after="0"/>
            </w:pPr>
            <w:r>
              <w:rPr>
                <w:b/>
                <w:bCs/>
                <w:color w:val="475569"/>
                <w:sz w:val="15"/>
                <w:szCs w:val="15"/>
              </w:rPr>
              <w:t xml:space="preserve">Out of scope</w:t>
            </w:r>
          </w:p>
        </w:tc>
        <w:tc>
          <w:tcPr>
            <w:tcW w:type="pct" w:w="26%"/>
            <w:tcMar>
              <w:top w:type="dxa" w:w="80"/>
              <w:left w:type="dxa" w:w="110"/>
              <w:bottom w:type="dxa" w:w="80"/>
              <w:right w:type="dxa" w:w="110"/>
            </w:tcMar>
          </w:tcPr>
          <w:p>
            <w:pPr>
              <w:spacing w:after="0"/>
            </w:pPr>
            <w:r>
              <w:rPr>
                <w:sz w:val="17"/>
                <w:szCs w:val="17"/>
              </w:rPr>
              <w:t xml:space="preserve">Additional controls for open systems.</w:t>
            </w:r>
          </w:p>
        </w:tc>
        <w:tc>
          <w:tcPr>
            <w:tcW w:type="pct" w:w="34%"/>
            <w:tcMar>
              <w:top w:type="dxa" w:w="80"/>
              <w:left w:type="dxa" w:w="110"/>
              <w:bottom w:type="dxa" w:w="80"/>
              <w:right w:type="dxa" w:w="110"/>
            </w:tcMar>
          </w:tcPr>
          <w:p>
            <w:pPr>
              <w:spacing w:after="0"/>
            </w:pPr>
            <w:r>
              <w:rPr>
                <w:sz w:val="17"/>
                <w:szCs w:val="17"/>
              </w:rPr>
              <w:t xml:space="preserve">Filum is designed for closed-system deployment: a self-hosted instance on your infrastructure, access restricted to the accounts you create, and no dependency on a third-party service for access to the records.</w:t>
            </w:r>
          </w:p>
        </w:tc>
        <w:tc>
          <w:tcPr>
            <w:tcW w:type="pct" w:w="27%"/>
            <w:tcMar>
              <w:top w:type="dxa" w:w="80"/>
              <w:left w:type="dxa" w:w="110"/>
              <w:bottom w:type="dxa" w:w="80"/>
              <w:right w:type="dxa" w:w="110"/>
            </w:tcMar>
          </w:tcPr>
          <w:p>
            <w:pPr>
              <w:spacing w:after="0"/>
            </w:pPr>
            <w:r>
              <w:rPr>
                <w:sz w:val="17"/>
                <w:szCs w:val="17"/>
              </w:rPr>
              <w:t xml:space="preserve">If you expose the instance outside your trusted network, encryption in transit and perimeter access controls belong to your infrastructure. An open system would call for additional controls, to be defined with us.</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11.50</w:t>
            </w:r>
          </w:p>
          <w:p>
            <w:pPr>
              <w:spacing w:after="0"/>
            </w:pPr>
            <w:r>
              <w:rPr>
                <w:b/>
                <w:bCs/>
                <w:color w:val="047857"/>
                <w:sz w:val="15"/>
                <w:szCs w:val="15"/>
              </w:rPr>
              <w:t xml:space="preserve">Implemented</w:t>
            </w:r>
          </w:p>
        </w:tc>
        <w:tc>
          <w:tcPr>
            <w:tcW w:type="pct" w:w="26%"/>
            <w:tcMar>
              <w:top w:type="dxa" w:w="80"/>
              <w:left w:type="dxa" w:w="110"/>
              <w:bottom w:type="dxa" w:w="80"/>
              <w:right w:type="dxa" w:w="110"/>
            </w:tcMar>
          </w:tcPr>
          <w:p>
            <w:pPr>
              <w:spacing w:after="0"/>
            </w:pPr>
            <w:r>
              <w:rPr>
                <w:sz w:val="17"/>
                <w:szCs w:val="17"/>
              </w:rPr>
              <w:t xml:space="preserve">Signed electronic records shall contain the printed name of the signer, the date and time of signing, and the meaning associated with the signature.</w:t>
            </w:r>
          </w:p>
        </w:tc>
        <w:tc>
          <w:tcPr>
            <w:tcW w:type="pct" w:w="34%"/>
            <w:tcMar>
              <w:top w:type="dxa" w:w="80"/>
              <w:left w:type="dxa" w:w="110"/>
              <w:bottom w:type="dxa" w:w="80"/>
              <w:right w:type="dxa" w:w="110"/>
            </w:tcMar>
          </w:tcPr>
          <w:p>
            <w:pPr>
              <w:spacing w:after="0"/>
            </w:pPr>
            <w:r>
              <w:rPr>
                <w:sz w:val="17"/>
                <w:szCs w:val="17"/>
              </w:rPr>
              <w:t xml:space="preserve">All three appear on screen AND in the exported Word document. The printed name is FROZEN at the moment of signing: renaming the person later does not rewrite an already-signed record. The time is shown in UTC so as to stay unambiguous. The meaning is explicit (approval, review, disposition decided, closure pronounced) and is never replaced by a default value.</w:t>
            </w:r>
          </w:p>
        </w:tc>
        <w:tc>
          <w:tcPr>
            <w:tcW w:type="pct" w:w="27%"/>
            <w:tcMar>
              <w:top w:type="dxa" w:w="80"/>
              <w:left w:type="dxa" w:w="110"/>
              <w:bottom w:type="dxa" w:w="80"/>
              <w:right w:type="dxa" w:w="110"/>
            </w:tcMar>
          </w:tcPr>
          <w:p>
            <w:pPr>
              <w:spacing w:after="0"/>
            </w:pPr>
            <w:r>
              <w:rPr>
                <w:sz w:val="17"/>
                <w:szCs w:val="17"/>
              </w:rPr>
              <w:t xml:space="preserve">No action required.</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11.70</w:t>
            </w:r>
          </w:p>
          <w:p>
            <w:pPr>
              <w:spacing w:after="0"/>
            </w:pPr>
            <w:r>
              <w:rPr>
                <w:b/>
                <w:bCs/>
                <w:color w:val="047857"/>
                <w:sz w:val="15"/>
                <w:szCs w:val="15"/>
              </w:rPr>
              <w:t xml:space="preserve">Implemented</w:t>
            </w:r>
          </w:p>
        </w:tc>
        <w:tc>
          <w:tcPr>
            <w:tcW w:type="pct" w:w="26%"/>
            <w:tcMar>
              <w:top w:type="dxa" w:w="80"/>
              <w:left w:type="dxa" w:w="110"/>
              <w:bottom w:type="dxa" w:w="80"/>
              <w:right w:type="dxa" w:w="110"/>
            </w:tcMar>
          </w:tcPr>
          <w:p>
            <w:pPr>
              <w:spacing w:after="0"/>
            </w:pPr>
            <w:r>
              <w:rPr>
                <w:sz w:val="17"/>
                <w:szCs w:val="17"/>
              </w:rPr>
              <w:t xml:space="preserve">Electronic signatures shall be linked to their respective electronic records to ensure that they cannot be excised, copied or otherwise transferred so as to falsify an electronic record.</w:t>
            </w:r>
          </w:p>
        </w:tc>
        <w:tc>
          <w:tcPr>
            <w:tcW w:type="pct" w:w="34%"/>
            <w:tcMar>
              <w:top w:type="dxa" w:w="80"/>
              <w:left w:type="dxa" w:w="110"/>
              <w:bottom w:type="dxa" w:w="80"/>
              <w:right w:type="dxa" w:w="110"/>
            </w:tcMar>
          </w:tcPr>
          <w:p>
            <w:pPr>
              <w:spacing w:after="0"/>
            </w:pPr>
            <w:r>
              <w:rPr>
                <w:sz w:val="17"/>
                <w:szCs w:val="17"/>
              </w:rPr>
              <w:t xml:space="preserve">The signature is a row attached to the record, not a detachable file. It can neither be removed once applied, nor applied by anybody else. Each signature further carries the SHA-256 FINGERPRINT of the frozen content it attests, copied into the signature record itself: a signature transposed onto other content is visible immediately, on screen as in the Word document, where it appears in red. The human-readable manifestation (21 CFR 11.50) carries that fingerprint. Any reopening of the content — return to draft or new revision — automatically invalidates every signature: modified content never keeps the approval of the old one. Release is refused, and the discrepancy written to the audit trail, if the content differs from what was frozen for approval.</w:t>
            </w:r>
          </w:p>
        </w:tc>
        <w:tc>
          <w:tcPr>
            <w:tcW w:type="pct" w:w="27%"/>
            <w:tcMar>
              <w:top w:type="dxa" w:w="80"/>
              <w:left w:type="dxa" w:w="110"/>
              <w:bottom w:type="dxa" w:w="80"/>
              <w:right w:type="dxa" w:w="110"/>
            </w:tcMar>
          </w:tcPr>
          <w:p>
            <w:pPr>
              <w:spacing w:after="0"/>
            </w:pPr>
            <w:r>
              <w:rPr>
                <w:sz w:val="17"/>
                <w:szCs w:val="17"/>
              </w:rPr>
              <w:t xml:space="preserve">Restricting direct access to the database file to system administrators only.</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11.100(a)</w:t>
            </w:r>
          </w:p>
          <w:p>
            <w:pPr>
              <w:spacing w:after="0"/>
            </w:pPr>
            <w:r>
              <w:rPr>
                <w:b/>
                <w:bCs/>
                <w:color w:val="047857"/>
                <w:sz w:val="15"/>
                <w:szCs w:val="15"/>
              </w:rPr>
              <w:t xml:space="preserve">Implemented</w:t>
            </w:r>
          </w:p>
        </w:tc>
        <w:tc>
          <w:tcPr>
            <w:tcW w:type="pct" w:w="26%"/>
            <w:tcMar>
              <w:top w:type="dxa" w:w="80"/>
              <w:left w:type="dxa" w:w="110"/>
              <w:bottom w:type="dxa" w:w="80"/>
              <w:right w:type="dxa" w:w="110"/>
            </w:tcMar>
          </w:tcPr>
          <w:p>
            <w:pPr>
              <w:spacing w:after="0"/>
            </w:pPr>
            <w:r>
              <w:rPr>
                <w:sz w:val="17"/>
                <w:szCs w:val="17"/>
              </w:rPr>
              <w:t xml:space="preserve">Each electronic signature shall be unique to one individual and shall not be reused by, or reassigned to, anyone else.</w:t>
            </w:r>
          </w:p>
        </w:tc>
        <w:tc>
          <w:tcPr>
            <w:tcW w:type="pct" w:w="34%"/>
            <w:tcMar>
              <w:top w:type="dxa" w:w="80"/>
              <w:left w:type="dxa" w:w="110"/>
              <w:bottom w:type="dxa" w:w="80"/>
              <w:right w:type="dxa" w:w="110"/>
            </w:tcMar>
          </w:tcPr>
          <w:p>
            <w:pPr>
              <w:spacing w:after="0"/>
            </w:pPr>
            <w:r>
              <w:rPr>
                <w:sz w:val="17"/>
                <w:szCs w:val="17"/>
              </w:rPr>
              <w:t xml:space="preserve">Database uniqueness constraints on initials and on email: two people cannot bear the same identifier. No function deletes a person — an account is deactivated, never recycled: an identifier is therefore never freed nor reassigned.</w:t>
            </w:r>
          </w:p>
        </w:tc>
        <w:tc>
          <w:tcPr>
            <w:tcW w:type="pct" w:w="27%"/>
            <w:tcMar>
              <w:top w:type="dxa" w:w="80"/>
              <w:left w:type="dxa" w:w="110"/>
              <w:bottom w:type="dxa" w:w="80"/>
              <w:right w:type="dxa" w:w="110"/>
            </w:tcMar>
          </w:tcPr>
          <w:p>
            <w:pPr>
              <w:spacing w:after="0"/>
            </w:pPr>
            <w:r>
              <w:rPr>
                <w:sz w:val="17"/>
                <w:szCs w:val="17"/>
              </w:rPr>
              <w:t xml:space="preserve">Never reusing a departed colleague's initials for a new joiner.</w:t>
            </w:r>
          </w:p>
        </w:tc>
      </w:tr>
      <w:tr>
        <w:tc>
          <w:tcPr>
            <w:tcW w:type="pct" w:w="13%"/>
            <w:shd w:fill="DBEAFE"/>
            <w:tcMar>
              <w:top w:type="dxa" w:w="80"/>
              <w:left w:type="dxa" w:w="110"/>
              <w:bottom w:type="dxa" w:w="80"/>
              <w:right w:type="dxa" w:w="110"/>
            </w:tcMar>
          </w:tcPr>
          <w:p>
            <w:pPr>
              <w:spacing w:after="60"/>
            </w:pPr>
            <w:r>
              <w:rPr>
                <w:b/>
                <w:bCs/>
                <w:color w:val="4338CA"/>
                <w:sz w:val="17"/>
                <w:szCs w:val="17"/>
              </w:rPr>
              <w:t xml:space="preserve">11.100(b)</w:t>
            </w:r>
          </w:p>
          <w:p>
            <w:pPr>
              <w:spacing w:after="0"/>
            </w:pPr>
            <w:r>
              <w:rPr>
                <w:b/>
                <w:bCs/>
                <w:color w:val="1D4ED8"/>
                <w:sz w:val="15"/>
                <w:szCs w:val="15"/>
              </w:rPr>
              <w:t xml:space="preserve">Your organisation</w:t>
            </w:r>
          </w:p>
        </w:tc>
        <w:tc>
          <w:tcPr>
            <w:tcW w:type="pct" w:w="26%"/>
            <w:tcMar>
              <w:top w:type="dxa" w:w="80"/>
              <w:left w:type="dxa" w:w="110"/>
              <w:bottom w:type="dxa" w:w="80"/>
              <w:right w:type="dxa" w:w="110"/>
            </w:tcMar>
          </w:tcPr>
          <w:p>
            <w:pPr>
              <w:spacing w:after="0"/>
            </w:pPr>
            <w:r>
              <w:rPr>
                <w:sz w:val="17"/>
                <w:szCs w:val="17"/>
              </w:rPr>
              <w:t xml:space="preserve">Before an organisation establishes, assigns, certifies or otherwise sanctions an individual's electronic signature, the organisation shall verify the identity of the individual.</w:t>
            </w:r>
          </w:p>
        </w:tc>
        <w:tc>
          <w:tcPr>
            <w:tcW w:type="pct" w:w="34%"/>
            <w:tcMar>
              <w:top w:type="dxa" w:w="80"/>
              <w:left w:type="dxa" w:w="110"/>
              <w:bottom w:type="dxa" w:w="80"/>
              <w:right w:type="dxa" w:w="110"/>
            </w:tcMar>
          </w:tcPr>
          <w:p>
            <w:pPr>
              <w:spacing w:after="0"/>
            </w:pPr>
            <w:r>
              <w:rPr>
                <w:sz w:val="17"/>
                <w:szCs w:val="17"/>
              </w:rPr>
              <w:t xml:space="preserve">Filum provides no place to store evidence of that verification.</w:t>
            </w:r>
          </w:p>
        </w:tc>
        <w:tc>
          <w:tcPr>
            <w:tcW w:type="pct" w:w="27%"/>
            <w:tcMar>
              <w:top w:type="dxa" w:w="80"/>
              <w:left w:type="dxa" w:w="110"/>
              <w:bottom w:type="dxa" w:w="80"/>
              <w:right w:type="dxa" w:w="110"/>
            </w:tcMar>
          </w:tcPr>
          <w:p>
            <w:pPr>
              <w:spacing w:after="0"/>
            </w:pPr>
            <w:r>
              <w:rPr>
                <w:sz w:val="17"/>
                <w:szCs w:val="17"/>
              </w:rPr>
              <w:t xml:space="preserve">Verifying identity before the account is created and keeping that evidence in your quality or HR system.</w:t>
            </w:r>
          </w:p>
        </w:tc>
      </w:tr>
      <w:tr>
        <w:tc>
          <w:tcPr>
            <w:tcW w:type="pct" w:w="13%"/>
            <w:shd w:fill="DBEAFE"/>
            <w:tcMar>
              <w:top w:type="dxa" w:w="80"/>
              <w:left w:type="dxa" w:w="110"/>
              <w:bottom w:type="dxa" w:w="80"/>
              <w:right w:type="dxa" w:w="110"/>
            </w:tcMar>
          </w:tcPr>
          <w:p>
            <w:pPr>
              <w:spacing w:after="60"/>
            </w:pPr>
            <w:r>
              <w:rPr>
                <w:b/>
                <w:bCs/>
                <w:color w:val="4338CA"/>
                <w:sz w:val="17"/>
                <w:szCs w:val="17"/>
              </w:rPr>
              <w:t xml:space="preserve">11.100(c)</w:t>
            </w:r>
          </w:p>
          <w:p>
            <w:pPr>
              <w:spacing w:after="0"/>
            </w:pPr>
            <w:r>
              <w:rPr>
                <w:b/>
                <w:bCs/>
                <w:color w:val="1D4ED8"/>
                <w:sz w:val="15"/>
                <w:szCs w:val="15"/>
              </w:rPr>
              <w:t xml:space="preserve">Your organisation</w:t>
            </w:r>
          </w:p>
        </w:tc>
        <w:tc>
          <w:tcPr>
            <w:tcW w:type="pct" w:w="26%"/>
            <w:tcMar>
              <w:top w:type="dxa" w:w="80"/>
              <w:left w:type="dxa" w:w="110"/>
              <w:bottom w:type="dxa" w:w="80"/>
              <w:right w:type="dxa" w:w="110"/>
            </w:tcMar>
          </w:tcPr>
          <w:p>
            <w:pPr>
              <w:spacing w:after="0"/>
            </w:pPr>
            <w:r>
              <w:rPr>
                <w:sz w:val="17"/>
                <w:szCs w:val="17"/>
              </w:rPr>
              <w:t xml:space="preserve">Persons using electronic signatures shall, prior to or at the time of such use, certify to the agency that the electronic signatures in their system are intended to be the legally binding equivalent of traditional handwritten signatures.</w:t>
            </w:r>
          </w:p>
        </w:tc>
        <w:tc>
          <w:tcPr>
            <w:tcW w:type="pct" w:w="34%"/>
            <w:tcMar>
              <w:top w:type="dxa" w:w="80"/>
              <w:left w:type="dxa" w:w="110"/>
              <w:bottom w:type="dxa" w:w="80"/>
              <w:right w:type="dxa" w:w="110"/>
            </w:tcMar>
          </w:tcPr>
          <w:p>
            <w:pPr>
              <w:spacing w:after="0"/>
            </w:pPr>
            <w:r>
              <w:rPr>
                <w:sz w:val="17"/>
                <w:szCs w:val="17"/>
              </w:rPr>
              <w:t xml:space="preserve">This certification CANNOT be carried by the software vendor. It binds the legal entity whose staff sign the records, takes the form of a letter bearing a handwritten signature addressed to the FDA's Office of Regional Operations, and must be submitted by the declarant itself. §11.100(c)(2) further requires that an INDIVIDUAL certify, upon request, that their signature is the legally binding equivalent of their handwritten signature: a product cannot testify.</w:t>
            </w:r>
          </w:p>
        </w:tc>
        <w:tc>
          <w:tcPr>
            <w:tcW w:type="pct" w:w="27%"/>
            <w:tcMar>
              <w:top w:type="dxa" w:w="80"/>
              <w:left w:type="dxa" w:w="110"/>
              <w:bottom w:type="dxa" w:w="80"/>
              <w:right w:type="dxa" w:w="110"/>
            </w:tcMar>
          </w:tcPr>
          <w:p>
            <w:pPr>
              <w:spacing w:after="0"/>
            </w:pPr>
            <w:r>
              <w:rPr>
                <w:sz w:val="17"/>
                <w:szCs w:val="17"/>
              </w:rPr>
              <w:t xml:space="preserve">Establishing and submitting the certification, before or at the time electronic signatures are first used.</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11.200(a)(1)</w:t>
            </w:r>
          </w:p>
          <w:p>
            <w:pPr>
              <w:spacing w:after="0"/>
            </w:pPr>
            <w:r>
              <w:rPr>
                <w:b/>
                <w:bCs/>
                <w:color w:val="047857"/>
                <w:sz w:val="15"/>
                <w:szCs w:val="15"/>
              </w:rPr>
              <w:t xml:space="preserve">Implemented</w:t>
            </w:r>
          </w:p>
        </w:tc>
        <w:tc>
          <w:tcPr>
            <w:tcW w:type="pct" w:w="26%"/>
            <w:tcMar>
              <w:top w:type="dxa" w:w="80"/>
              <w:left w:type="dxa" w:w="110"/>
              <w:bottom w:type="dxa" w:w="80"/>
              <w:right w:type="dxa" w:w="110"/>
            </w:tcMar>
          </w:tcPr>
          <w:p>
            <w:pPr>
              <w:spacing w:after="0"/>
            </w:pPr>
            <w:r>
              <w:rPr>
                <w:sz w:val="17"/>
                <w:szCs w:val="17"/>
              </w:rPr>
              <w:t xml:space="preserve">Electronic signatures not based upon biometrics shall employ at least two distinct identification components. When several signings are executed during a single continuous period of controlled system access, the first shall use all components and subsequent ones at least one; signings not executed during such a period shall use all components.</w:t>
            </w:r>
          </w:p>
        </w:tc>
        <w:tc>
          <w:tcPr>
            <w:tcW w:type="pct" w:w="34%"/>
            <w:tcMar>
              <w:top w:type="dxa" w:w="80"/>
              <w:left w:type="dxa" w:w="110"/>
              <w:bottom w:type="dxa" w:w="80"/>
              <w:right w:type="dxa" w:w="110"/>
            </w:tcMar>
          </w:tcPr>
          <w:p>
            <w:pPr>
              <w:spacing w:after="0"/>
            </w:pPr>
            <w:r>
              <w:rPr>
                <w:sz w:val="17"/>
                <w:szCs w:val="17"/>
              </w:rPr>
              <w:t xml:space="preserve">Filum requires BOTH components at EVERY signature: the authenticated session and the password re-entered at the moment of signing. That is stricter than the regulatory minimum, and it removes the need to demonstrate that a session remained “continuous”. A failure signs nothing: it is logged by name and counts towards account lockout.</w:t>
            </w:r>
          </w:p>
        </w:tc>
        <w:tc>
          <w:tcPr>
            <w:tcW w:type="pct" w:w="27%"/>
            <w:tcMar>
              <w:top w:type="dxa" w:w="80"/>
              <w:left w:type="dxa" w:w="110"/>
              <w:bottom w:type="dxa" w:w="80"/>
              <w:right w:type="dxa" w:w="110"/>
            </w:tcMar>
          </w:tcPr>
          <w:p>
            <w:pPr>
              <w:spacing w:after="0"/>
            </w:pPr>
            <w:r>
              <w:rPr>
                <w:sz w:val="17"/>
                <w:szCs w:val="17"/>
              </w:rPr>
              <w:t xml:space="preserve">Prohibiting password sharing in your accountability policy.</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11.200(a)(2)</w:t>
            </w:r>
          </w:p>
          <w:p>
            <w:pPr>
              <w:spacing w:after="0"/>
            </w:pPr>
            <w:r>
              <w:rPr>
                <w:b/>
                <w:bCs/>
                <w:color w:val="047857"/>
                <w:sz w:val="15"/>
                <w:szCs w:val="15"/>
              </w:rPr>
              <w:t xml:space="preserve">Implemented</w:t>
            </w:r>
          </w:p>
        </w:tc>
        <w:tc>
          <w:tcPr>
            <w:tcW w:type="pct" w:w="26%"/>
            <w:tcMar>
              <w:top w:type="dxa" w:w="80"/>
              <w:left w:type="dxa" w:w="110"/>
              <w:bottom w:type="dxa" w:w="80"/>
              <w:right w:type="dxa" w:w="110"/>
            </w:tcMar>
          </w:tcPr>
          <w:p>
            <w:pPr>
              <w:spacing w:after="0"/>
            </w:pPr>
            <w:r>
              <w:rPr>
                <w:sz w:val="17"/>
                <w:szCs w:val="17"/>
              </w:rPr>
              <w:t xml:space="preserve">Electronic signatures shall be used only by their genuine owners.</w:t>
            </w:r>
          </w:p>
        </w:tc>
        <w:tc>
          <w:tcPr>
            <w:tcW w:type="pct" w:w="34%"/>
            <w:tcMar>
              <w:top w:type="dxa" w:w="80"/>
              <w:left w:type="dxa" w:w="110"/>
              <w:bottom w:type="dxa" w:w="80"/>
              <w:right w:type="dxa" w:w="110"/>
            </w:tcMar>
          </w:tcPr>
          <w:p>
            <w:pPr>
              <w:spacing w:after="0"/>
            </w:pPr>
            <w:r>
              <w:rPr>
                <w:sz w:val="17"/>
                <w:szCs w:val="17"/>
              </w:rPr>
              <w:t xml:space="preserve">You only sign your own approval: the server checks that the designated signer is indeed the authenticated user. An already-signed approval can neither be re-signed nor withdrawn.</w:t>
            </w:r>
          </w:p>
        </w:tc>
        <w:tc>
          <w:tcPr>
            <w:tcW w:type="pct" w:w="27%"/>
            <w:tcMar>
              <w:top w:type="dxa" w:w="80"/>
              <w:left w:type="dxa" w:w="110"/>
              <w:bottom w:type="dxa" w:w="80"/>
              <w:right w:type="dxa" w:w="110"/>
            </w:tcMar>
          </w:tcPr>
          <w:p>
            <w:pPr>
              <w:spacing w:after="0"/>
            </w:pPr>
            <w:r>
              <w:rPr>
                <w:sz w:val="17"/>
                <w:szCs w:val="17"/>
              </w:rPr>
              <w:t xml:space="preserve">A no-sharing policy for credentials, and locking of unattended workstations.</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11.200(a)(3)</w:t>
            </w:r>
          </w:p>
          <w:p>
            <w:pPr>
              <w:spacing w:after="0"/>
            </w:pPr>
            <w:r>
              <w:rPr>
                <w:b/>
                <w:bCs/>
                <w:color w:val="047857"/>
                <w:sz w:val="15"/>
                <w:szCs w:val="15"/>
              </w:rPr>
              <w:t xml:space="preserve">Implemented</w:t>
            </w:r>
          </w:p>
        </w:tc>
        <w:tc>
          <w:tcPr>
            <w:tcW w:type="pct" w:w="26%"/>
            <w:tcMar>
              <w:top w:type="dxa" w:w="80"/>
              <w:left w:type="dxa" w:w="110"/>
              <w:bottom w:type="dxa" w:w="80"/>
              <w:right w:type="dxa" w:w="110"/>
            </w:tcMar>
          </w:tcPr>
          <w:p>
            <w:pPr>
              <w:spacing w:after="0"/>
            </w:pPr>
            <w:r>
              <w:rPr>
                <w:sz w:val="17"/>
                <w:szCs w:val="17"/>
              </w:rPr>
              <w:t xml:space="preserve">Electronic signatures shall be administered and executed to ensure that attempted use of an individual's electronic signature by anyone other than its genuine owner requires collaboration of two or more individuals.</w:t>
            </w:r>
          </w:p>
        </w:tc>
        <w:tc>
          <w:tcPr>
            <w:tcW w:type="pct" w:w="34%"/>
            <w:tcMar>
              <w:top w:type="dxa" w:w="80"/>
              <w:left w:type="dxa" w:w="110"/>
              <w:bottom w:type="dxa" w:w="80"/>
              <w:right w:type="dxa" w:w="110"/>
            </w:tcMar>
          </w:tcPr>
          <w:p>
            <w:pPr>
              <w:spacing w:after="0"/>
            </w:pPr>
            <w:r>
              <w:rPr>
                <w:sz w:val="17"/>
                <w:szCs w:val="17"/>
              </w:rPr>
              <w:t xml:space="preserve">No function of the software allows anyone to set another person's password: the only field where a password is typed is the one where you type your own. An Administrator issues a single-use token, valid 24 h, stored hashed and displayed once only; its holder redeems it from the sign-in screen and chooses their own secret. The server-console emergency tool follows the same rule and can no longer derive a password. RESERVE TO BE AWARE OF: the administrator sees the token they issue and could redeem it in the holder's place. That is no longer silent knowledge but an ACT, timestamped in the audit trail, which the legitimate holder notices at once since their token no longer works.</w:t>
            </w:r>
          </w:p>
        </w:tc>
        <w:tc>
          <w:tcPr>
            <w:tcW w:type="pct" w:w="27%"/>
            <w:tcMar>
              <w:top w:type="dxa" w:w="80"/>
              <w:left w:type="dxa" w:w="110"/>
              <w:bottom w:type="dxa" w:w="80"/>
              <w:right w:type="dxa" w:w="110"/>
            </w:tcMar>
          </w:tcPr>
          <w:p>
            <w:pPr>
              <w:spacing w:after="0"/>
            </w:pPr>
            <w:r>
              <w:rPr>
                <w:sz w:val="17"/>
                <w:szCs w:val="17"/>
              </w:rPr>
              <w:t xml:space="preserve">Prescribing in your procedure the channel by which the token is handed over — in person, by phone, through your internal messaging: Filum has no outbound channel and will not hand it over for you. Offsetting the reserve above through your accountability policy: limiting the number of administrators, holding them explicitly responsible, and making periodic review of the audit trail an assigned task. A holder whose token is refused as “already used” must know to report it.</w:t>
            </w:r>
          </w:p>
        </w:tc>
      </w:tr>
      <w:tr>
        <w:tc>
          <w:tcPr>
            <w:tcW w:type="pct" w:w="13%"/>
            <w:shd w:fill="F1F5F9"/>
            <w:tcMar>
              <w:top w:type="dxa" w:w="80"/>
              <w:left w:type="dxa" w:w="110"/>
              <w:bottom w:type="dxa" w:w="80"/>
              <w:right w:type="dxa" w:w="110"/>
            </w:tcMar>
          </w:tcPr>
          <w:p>
            <w:pPr>
              <w:spacing w:after="60"/>
            </w:pPr>
            <w:r>
              <w:rPr>
                <w:b/>
                <w:bCs/>
                <w:color w:val="4338CA"/>
                <w:sz w:val="17"/>
                <w:szCs w:val="17"/>
              </w:rPr>
              <w:t xml:space="preserve">11.200(b)</w:t>
            </w:r>
          </w:p>
          <w:p>
            <w:pPr>
              <w:spacing w:after="0"/>
            </w:pPr>
            <w:r>
              <w:rPr>
                <w:b/>
                <w:bCs/>
                <w:color w:val="475569"/>
                <w:sz w:val="15"/>
                <w:szCs w:val="15"/>
              </w:rPr>
              <w:t xml:space="preserve">Out of scope</w:t>
            </w:r>
          </w:p>
        </w:tc>
        <w:tc>
          <w:tcPr>
            <w:tcW w:type="pct" w:w="26%"/>
            <w:tcMar>
              <w:top w:type="dxa" w:w="80"/>
              <w:left w:type="dxa" w:w="110"/>
              <w:bottom w:type="dxa" w:w="80"/>
              <w:right w:type="dxa" w:w="110"/>
            </w:tcMar>
          </w:tcPr>
          <w:p>
            <w:pPr>
              <w:spacing w:after="0"/>
            </w:pPr>
            <w:r>
              <w:rPr>
                <w:sz w:val="17"/>
                <w:szCs w:val="17"/>
              </w:rPr>
              <w:t xml:space="preserve">Electronic signatures based upon biometrics.</w:t>
            </w:r>
          </w:p>
        </w:tc>
        <w:tc>
          <w:tcPr>
            <w:tcW w:type="pct" w:w="34%"/>
            <w:tcMar>
              <w:top w:type="dxa" w:w="80"/>
              <w:left w:type="dxa" w:w="110"/>
              <w:bottom w:type="dxa" w:w="80"/>
              <w:right w:type="dxa" w:w="110"/>
            </w:tcMar>
          </w:tcPr>
          <w:p>
            <w:pPr>
              <w:spacing w:after="0"/>
            </w:pPr>
            <w:r>
              <w:rPr>
                <w:sz w:val="17"/>
                <w:szCs w:val="17"/>
              </w:rPr>
              <w:t xml:space="preserve">Filum uses no biometric factor.</w:t>
            </w:r>
          </w:p>
        </w:tc>
        <w:tc>
          <w:tcPr>
            <w:tcW w:type="pct" w:w="27%"/>
            <w:tcMar>
              <w:top w:type="dxa" w:w="80"/>
              <w:left w:type="dxa" w:w="110"/>
              <w:bottom w:type="dxa" w:w="80"/>
              <w:right w:type="dxa" w:w="110"/>
            </w:tcMar>
          </w:tcPr>
          <w:p>
            <w:pPr>
              <w:spacing w:after="0"/>
            </w:pPr>
            <w:r>
              <w:rPr>
                <w:sz w:val="17"/>
                <w:szCs w:val="17"/>
              </w:rPr>
              <w:t xml:space="preserve">Not applicable.</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11.300(a)</w:t>
            </w:r>
          </w:p>
          <w:p>
            <w:pPr>
              <w:spacing w:after="0"/>
            </w:pPr>
            <w:r>
              <w:rPr>
                <w:b/>
                <w:bCs/>
                <w:color w:val="047857"/>
                <w:sz w:val="15"/>
                <w:szCs w:val="15"/>
              </w:rPr>
              <w:t xml:space="preserve">Implemented</w:t>
            </w:r>
          </w:p>
        </w:tc>
        <w:tc>
          <w:tcPr>
            <w:tcW w:type="pct" w:w="26%"/>
            <w:tcMar>
              <w:top w:type="dxa" w:w="80"/>
              <w:left w:type="dxa" w:w="110"/>
              <w:bottom w:type="dxa" w:w="80"/>
              <w:right w:type="dxa" w:w="110"/>
            </w:tcMar>
          </w:tcPr>
          <w:p>
            <w:pPr>
              <w:spacing w:after="0"/>
            </w:pPr>
            <w:r>
              <w:rPr>
                <w:sz w:val="17"/>
                <w:szCs w:val="17"/>
              </w:rPr>
              <w:t xml:space="preserve">Maintaining the uniqueness of each combined identification code and password, such that no two individuals have the same combination.</w:t>
            </w:r>
          </w:p>
        </w:tc>
        <w:tc>
          <w:tcPr>
            <w:tcW w:type="pct" w:w="34%"/>
            <w:tcMar>
              <w:top w:type="dxa" w:w="80"/>
              <w:left w:type="dxa" w:w="110"/>
              <w:bottom w:type="dxa" w:w="80"/>
              <w:right w:type="dxa" w:w="110"/>
            </w:tcMar>
          </w:tcPr>
          <w:p>
            <w:pPr>
              <w:spacing w:after="0"/>
            </w:pPr>
            <w:r>
              <w:rPr>
                <w:sz w:val="17"/>
                <w:szCs w:val="17"/>
              </w:rPr>
              <w:t xml:space="preserve">Identifier uniqueness guaranteed by a database constraint, not by an application-level check: the database physically refuses the duplicate.</w:t>
            </w:r>
          </w:p>
        </w:tc>
        <w:tc>
          <w:tcPr>
            <w:tcW w:type="pct" w:w="27%"/>
            <w:tcMar>
              <w:top w:type="dxa" w:w="80"/>
              <w:left w:type="dxa" w:w="110"/>
              <w:bottom w:type="dxa" w:w="80"/>
              <w:right w:type="dxa" w:w="110"/>
            </w:tcMar>
          </w:tcPr>
          <w:p>
            <w:pPr>
              <w:spacing w:after="0"/>
            </w:pPr>
            <w:r>
              <w:rPr>
                <w:sz w:val="17"/>
                <w:szCs w:val="17"/>
              </w:rPr>
              <w:t xml:space="preserve">No action required.</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11.300(b)</w:t>
            </w:r>
          </w:p>
          <w:p>
            <w:pPr>
              <w:spacing w:after="0"/>
            </w:pPr>
            <w:r>
              <w:rPr>
                <w:b/>
                <w:bCs/>
                <w:color w:val="047857"/>
                <w:sz w:val="15"/>
                <w:szCs w:val="15"/>
              </w:rPr>
              <w:t xml:space="preserve">Implemented</w:t>
            </w:r>
          </w:p>
        </w:tc>
        <w:tc>
          <w:tcPr>
            <w:tcW w:type="pct" w:w="26%"/>
            <w:tcMar>
              <w:top w:type="dxa" w:w="80"/>
              <w:left w:type="dxa" w:w="110"/>
              <w:bottom w:type="dxa" w:w="80"/>
              <w:right w:type="dxa" w:w="110"/>
            </w:tcMar>
          </w:tcPr>
          <w:p>
            <w:pPr>
              <w:spacing w:after="0"/>
            </w:pPr>
            <w:r>
              <w:rPr>
                <w:sz w:val="17"/>
                <w:szCs w:val="17"/>
              </w:rPr>
              <w:t xml:space="preserve">Ensuring that identification code and password issuances are periodically checked, recalled or revised — covering such events as password ageing.</w:t>
            </w:r>
          </w:p>
        </w:tc>
        <w:tc>
          <w:tcPr>
            <w:tcW w:type="pct" w:w="34%"/>
            <w:tcMar>
              <w:top w:type="dxa" w:w="80"/>
              <w:left w:type="dxa" w:w="110"/>
              <w:bottom w:type="dxa" w:w="80"/>
              <w:right w:type="dxa" w:w="110"/>
            </w:tcMar>
          </w:tcPr>
          <w:p>
            <w:pPr>
              <w:spacing w:after="0"/>
            </w:pPr>
            <w:r>
              <w:rPr>
                <w:sz w:val="17"/>
                <w:szCs w:val="17"/>
              </w:rPr>
              <w:t xml:space="preserve">The date of the last change is recorded on every password write. The users screen shows the age of every password and flags those never changed: this is the periodic CHECK the clause asks for first, and it works with no enforced expiry. The first administrator account of an installation must renew its password at first sign-in — that password comes from the compose file, and is therefore not a secret. The validity period itself is DECLARED: entered, exceeding it requires renewal; left empty, no expiry is enforced. While renewal is due, no page and no download route is reachable — the control sits in the authentication guard, through which everything passes, and a qualification case re-reads the source so that no entry point departs from it.</w:t>
            </w:r>
          </w:p>
        </w:tc>
        <w:tc>
          <w:tcPr>
            <w:tcW w:type="pct" w:w="27%"/>
            <w:tcMar>
              <w:top w:type="dxa" w:w="80"/>
              <w:left w:type="dxa" w:w="110"/>
              <w:bottom w:type="dxa" w:w="80"/>
              <w:right w:type="dxa" w:w="110"/>
            </w:tcMar>
          </w:tcPr>
          <w:p>
            <w:pPr>
              <w:spacing w:after="0"/>
            </w:pPr>
            <w:r>
              <w:rPr>
                <w:sz w:val="17"/>
                <w:szCs w:val="17"/>
              </w:rPr>
              <w:t xml:space="preserve">Deciding whether to enforce expiry, and writing it down. The clause imposes no period, and the doctrine has shifted: NIST SP 800-63B advises against arbitrary periodic expiry, which drives predictable increments. Not expiring is therefore a defensible decision — provided it is recorded and the periodic account review is actually carried out, which the users screen makes possible. You also remain in charge of the strength required beyond the minimum length, and of training users not to share.</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11.300(c)</w:t>
            </w:r>
          </w:p>
          <w:p>
            <w:pPr>
              <w:spacing w:after="0"/>
            </w:pPr>
            <w:r>
              <w:rPr>
                <w:b/>
                <w:bCs/>
                <w:color w:val="047857"/>
                <w:sz w:val="15"/>
                <w:szCs w:val="15"/>
              </w:rPr>
              <w:t xml:space="preserve">Implemented</w:t>
            </w:r>
          </w:p>
        </w:tc>
        <w:tc>
          <w:tcPr>
            <w:tcW w:type="pct" w:w="26%"/>
            <w:tcMar>
              <w:top w:type="dxa" w:w="80"/>
              <w:left w:type="dxa" w:w="110"/>
              <w:bottom w:type="dxa" w:w="80"/>
              <w:right w:type="dxa" w:w="110"/>
            </w:tcMar>
          </w:tcPr>
          <w:p>
            <w:pPr>
              <w:spacing w:after="0"/>
            </w:pPr>
            <w:r>
              <w:rPr>
                <w:sz w:val="17"/>
                <w:szCs w:val="17"/>
              </w:rPr>
              <w:t xml:space="preserve">Following loss management procedures to electronically deauthorise lost, stolen, missing or otherwise potentially compromised tokens, cards and other devices that bear or generate identification code or password information, and to issue temporary or permanent replacements using suitable, rigorous controls.</w:t>
            </w:r>
          </w:p>
        </w:tc>
        <w:tc>
          <w:tcPr>
            <w:tcW w:type="pct" w:w="34%"/>
            <w:tcMar>
              <w:top w:type="dxa" w:w="80"/>
              <w:left w:type="dxa" w:w="110"/>
              <w:bottom w:type="dxa" w:w="80"/>
              <w:right w:type="dxa" w:w="110"/>
            </w:tcMar>
          </w:tcPr>
          <w:p>
            <w:pPr>
              <w:spacing w:after="0"/>
            </w:pPr>
            <w:r>
              <w:rPr>
                <w:sz w:val="17"/>
                <w:szCs w:val="17"/>
              </w:rPr>
              <w:t xml:space="preserve">An administrator issues a reset token and, in the same act, REVOKES every open session of the account: a stolen cookie immediately ceases to be valid. The token is single-use, expires in 24 h, is stored hashed only, and re-issuing one invalidates the previous. Deactivating an account likewise revokes its sessions. All of these are logged by name, issuance as well as redemption.</w:t>
            </w:r>
          </w:p>
        </w:tc>
        <w:tc>
          <w:tcPr>
            <w:tcW w:type="pct" w:w="27%"/>
            <w:tcMar>
              <w:top w:type="dxa" w:w="80"/>
              <w:left w:type="dxa" w:w="110"/>
              <w:bottom w:type="dxa" w:w="80"/>
              <w:right w:type="dxa" w:w="110"/>
            </w:tcMar>
          </w:tcPr>
          <w:p>
            <w:pPr>
              <w:spacing w:after="0"/>
            </w:pPr>
            <w:r>
              <w:rPr>
                <w:sz w:val="17"/>
                <w:szCs w:val="17"/>
              </w:rPr>
              <w:t xml:space="preserve">A procedure for reporting loss or compromise, and verification of the requester's identity before a token is issued.</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11.300(d)</w:t>
            </w:r>
          </w:p>
          <w:p>
            <w:pPr>
              <w:spacing w:after="0"/>
            </w:pPr>
            <w:r>
              <w:rPr>
                <w:b/>
                <w:bCs/>
                <w:color w:val="047857"/>
                <w:sz w:val="15"/>
                <w:szCs w:val="15"/>
              </w:rPr>
              <w:t xml:space="preserve">Implemented</w:t>
            </w:r>
          </w:p>
        </w:tc>
        <w:tc>
          <w:tcPr>
            <w:tcW w:type="pct" w:w="26%"/>
            <w:tcMar>
              <w:top w:type="dxa" w:w="80"/>
              <w:left w:type="dxa" w:w="110"/>
              <w:bottom w:type="dxa" w:w="80"/>
              <w:right w:type="dxa" w:w="110"/>
            </w:tcMar>
          </w:tcPr>
          <w:p>
            <w:pPr>
              <w:spacing w:after="0"/>
            </w:pPr>
            <w:r>
              <w:rPr>
                <w:sz w:val="17"/>
                <w:szCs w:val="17"/>
              </w:rPr>
              <w:t xml:space="preserve">Use of transaction safeguards to prevent unauthorised use of passwords and identification codes, and to detect and report in an immediate and urgent manner any attempts at their unauthorised use.</w:t>
            </w:r>
          </w:p>
        </w:tc>
        <w:tc>
          <w:tcPr>
            <w:tcW w:type="pct" w:w="34%"/>
            <w:tcMar>
              <w:top w:type="dxa" w:w="80"/>
              <w:left w:type="dxa" w:w="110"/>
              <w:bottom w:type="dxa" w:w="80"/>
              <w:right w:type="dxa" w:w="110"/>
            </w:tcMar>
          </w:tcPr>
          <w:p>
            <w:pPr>
              <w:spacing w:after="0"/>
            </w:pPr>
            <w:r>
              <w:rPr>
                <w:sz w:val="17"/>
                <w:szCs w:val="17"/>
              </w:rPr>
              <w:t xml:space="preserve">Temporary account lockout after repeated failures (5 attempts, 15 minutes by default, configurable at install time), applied to sign-in AS WELL AS to signature re-authentication. Every failure and every lockout produces a named audit entry, given its own colour on screen. A lockout triggered from a signing action further revokes all the account's sessions.</w:t>
            </w:r>
          </w:p>
        </w:tc>
        <w:tc>
          <w:tcPr>
            <w:tcW w:type="pct" w:w="27%"/>
            <w:tcMar>
              <w:top w:type="dxa" w:w="80"/>
              <w:left w:type="dxa" w:w="110"/>
              <w:bottom w:type="dxa" w:w="80"/>
              <w:right w:type="dxa" w:w="110"/>
            </w:tcMar>
          </w:tcPr>
          <w:p>
            <w:pPr>
              <w:spacing w:after="0"/>
            </w:pPr>
            <w:r>
              <w:rPr>
                <w:sz w:val="17"/>
                <w:szCs w:val="17"/>
              </w:rPr>
              <w:t xml:space="preserve">Assigning the periodic review of security events in the audit trail, and defining what to do on an alert. Filum sends no notification: the alert is there to be consulted.</w:t>
            </w:r>
          </w:p>
        </w:tc>
      </w:tr>
      <w:tr>
        <w:tc>
          <w:tcPr>
            <w:tcW w:type="pct" w:w="13%"/>
            <w:shd w:fill="F1F5F9"/>
            <w:tcMar>
              <w:top w:type="dxa" w:w="80"/>
              <w:left w:type="dxa" w:w="110"/>
              <w:bottom w:type="dxa" w:w="80"/>
              <w:right w:type="dxa" w:w="110"/>
            </w:tcMar>
          </w:tcPr>
          <w:p>
            <w:pPr>
              <w:spacing w:after="60"/>
            </w:pPr>
            <w:r>
              <w:rPr>
                <w:b/>
                <w:bCs/>
                <w:color w:val="4338CA"/>
                <w:sz w:val="17"/>
                <w:szCs w:val="17"/>
              </w:rPr>
              <w:t xml:space="preserve">11.300(e)</w:t>
            </w:r>
          </w:p>
          <w:p>
            <w:pPr>
              <w:spacing w:after="0"/>
            </w:pPr>
            <w:r>
              <w:rPr>
                <w:b/>
                <w:bCs/>
                <w:color w:val="475569"/>
                <w:sz w:val="15"/>
                <w:szCs w:val="15"/>
              </w:rPr>
              <w:t xml:space="preserve">Out of scope</w:t>
            </w:r>
          </w:p>
        </w:tc>
        <w:tc>
          <w:tcPr>
            <w:tcW w:type="pct" w:w="26%"/>
            <w:tcMar>
              <w:top w:type="dxa" w:w="80"/>
              <w:left w:type="dxa" w:w="110"/>
              <w:bottom w:type="dxa" w:w="80"/>
              <w:right w:type="dxa" w:w="110"/>
            </w:tcMar>
          </w:tcPr>
          <w:p>
            <w:pPr>
              <w:spacing w:after="0"/>
            </w:pPr>
            <w:r>
              <w:rPr>
                <w:sz w:val="17"/>
                <w:szCs w:val="17"/>
              </w:rPr>
              <w:t xml:space="preserve">Initial and periodic testing of devices, such as tokens or cards, that bear or generate identification code or password information, to ensure that they function properly and have not been altered in an unauthorised manner.</w:t>
            </w:r>
          </w:p>
        </w:tc>
        <w:tc>
          <w:tcPr>
            <w:tcW w:type="pct" w:w="34%"/>
            <w:tcMar>
              <w:top w:type="dxa" w:w="80"/>
              <w:left w:type="dxa" w:w="110"/>
              <w:bottom w:type="dxa" w:w="80"/>
              <w:right w:type="dxa" w:w="110"/>
            </w:tcMar>
          </w:tcPr>
          <w:p>
            <w:pPr>
              <w:spacing w:after="0"/>
            </w:pPr>
            <w:r>
              <w:rPr>
                <w:sz w:val="17"/>
                <w:szCs w:val="17"/>
              </w:rPr>
              <w:t xml:space="preserve">Filum uses no hardware token, card or credential-bearing device.</w:t>
            </w:r>
          </w:p>
        </w:tc>
        <w:tc>
          <w:tcPr>
            <w:tcW w:type="pct" w:w="27%"/>
            <w:tcMar>
              <w:top w:type="dxa" w:w="80"/>
              <w:left w:type="dxa" w:w="110"/>
              <w:bottom w:type="dxa" w:w="80"/>
              <w:right w:type="dxa" w:w="110"/>
            </w:tcMar>
          </w:tcPr>
          <w:p>
            <w:pPr>
              <w:spacing w:after="0"/>
            </w:pPr>
            <w:r>
              <w:rPr>
                <w:sz w:val="17"/>
                <w:szCs w:val="17"/>
              </w:rPr>
              <w:t xml:space="preserve">Not applicable as it stands. If you place a hardware factor in front of the application, the clause becomes applicable again and Filum will keep no record of it.</w:t>
            </w:r>
          </w:p>
        </w:tc>
      </w:tr>
    </w:tbl>
    <w:p>
      <w:pPr>
        <w:pStyle w:val="Heading1"/>
        <w:spacing w:after="140" w:before="320"/>
      </w:pPr>
      <w:r>
        <w:t xml:space="preserve">4. Open points and roadmap</w:t>
      </w:r>
    </w:p>
    <w:p>
      <w:pPr>
        <w:spacing w:after="160"/>
      </w:pPr>
      <w:r>
        <w:rPr>
          <w:sz w:val="20"/>
          <w:szCs w:val="20"/>
        </w:rPr>
        <w:t xml:space="preserve">None of these points prevents the use of Filum in medical device R&amp;D, but each must be known to your quality manager before deployment and, where applicable, covered by a procedure.</w:t>
      </w:r>
    </w:p>
    <w:p>
      <w:pPr>
        <w:spacing w:after="60" w:before="200"/>
      </w:pPr>
      <w:r>
        <w:rPr>
          <w:b/>
          <w:bCs/>
          <w:sz w:val="20"/>
          <w:szCs w:val="20"/>
        </w:rPr>
        <w:t xml:space="preserve">Documents approved before content freezing existed</w:t>
      </w:r>
      <w:r>
        <w:rPr>
          <w:color w:val="4338CA"/>
          <w:sz w:val="17"/>
          <w:szCs w:val="17"/>
        </w:rPr>
        <w:t xml:space="preserve">   11.10(b), 11.70</w:t>
      </w:r>
    </w:p>
    <w:p>
      <w:pPr>
        <w:spacing w:after="120"/>
      </w:pPr>
      <w:r>
        <w:rPr>
          <w:color w:val="475569"/>
          <w:sz w:val="17"/>
          <w:szCs w:val="17"/>
        </w:rPr>
        <w:t xml:space="preserve">Content freezing has been in place since version 1.1: entry into review, fingerprint, byte retention, link to the signature. Documents approved under an earlier version have no frozen copy — the state of the graph at the time of their signatures is not recoverable, and no after-the-fact reconstruction would prove it. Their record page says so explicitly rather than suggesting a missing copy, and freezing applies normally from their next revision. This point closes itself as documents are revised.</w:t>
      </w:r>
    </w:p>
    <w:p>
      <w:pPr>
        <w:spacing w:after="60" w:before="200"/>
      </w:pPr>
      <w:r>
        <w:rPr>
          <w:b/>
          <w:bCs/>
          <w:sz w:val="20"/>
          <w:szCs w:val="20"/>
        </w:rPr>
        <w:t xml:space="preserve">Scope not covered by the vendor's qualification</w:t>
      </w:r>
      <w:r>
        <w:rPr>
          <w:color w:val="4338CA"/>
          <w:sz w:val="17"/>
          <w:szCs w:val="17"/>
        </w:rPr>
        <w:t xml:space="preserve">   11.10(a)</w:t>
      </w:r>
    </w:p>
    <w:p>
      <w:pPr>
        <w:spacing w:after="120"/>
      </w:pPr>
      <w:r>
        <w:rPr>
          <w:color w:val="475569"/>
          <w:sz w:val="17"/>
          <w:szCs w:val="17"/>
        </w:rPr>
        <w:t xml:space="preserve">The software validation file exists and is delivered with the product: 49 validation requirements, 46 automated test cases replayed at every release (authority checks, audit trail, signature and its link to the fingerprint, content freezing, drift refusal, tamper detection, chaining, RFC 3161 timestamping, token-based reset, CLSI vectors, input robustness), a traceability matrix and an installation protocol to be executed on your side. The operational qualification report is not written but PRODUCED from a real run — the generator refuses to emit the file without one; on the last run, 46 of 46 cases conforming, 0 deviation. Out of scope, and to be known: the user interface (covered by your performance qualification), behaviour under load, and the absence of penetration testing by an independent third party. Your own qualification for intended use remains required in every case.</w:t>
      </w:r>
    </w:p>
    <w:p>
      <w:pPr>
        <w:spacing w:after="60" w:before="200"/>
      </w:pPr>
      <w:r>
        <w:rPr>
          <w:b/>
          <w:bCs/>
          <w:sz w:val="20"/>
          <w:szCs w:val="20"/>
        </w:rPr>
        <w:t xml:space="preserve">Scope of audit-trail chaining</w:t>
      </w:r>
      <w:r>
        <w:rPr>
          <w:color w:val="4338CA"/>
          <w:sz w:val="17"/>
          <w:szCs w:val="17"/>
        </w:rPr>
        <w:t xml:space="preserve">   11.10(a)</w:t>
      </w:r>
    </w:p>
    <w:p>
      <w:pPr>
        <w:spacing w:after="120"/>
      </w:pPr>
      <w:r>
        <w:rPr>
          <w:color w:val="475569"/>
          <w:sz w:val="17"/>
          <w:szCs w:val="17"/>
        </w:rPr>
        <w:t xml:space="preserve">Every entry carries the fingerprint of the previous one: a modification or deletion performed directly in the database breaks the chain, and verification names the rank where it breaks. Three reserves remain, and they must be known. Chaining DETECTS, it does not prevent: restricting direct database access remains necessary. Someone writing in the database can recompute the whole chain after their change — it is the head recorded in the archive manifest and then counter-signed by a timestamping authority that closes that door, provided you produce timestamped archives and keep their anchors outside the system. Finally, entries written before chaining was installed are covered from the moment they were chained, not retroactively: the state on which the fingerprints were computed is that of the day of installation, whatever it was.</w:t>
      </w:r>
    </w:p>
    <w:p>
      <w:pPr>
        <w:spacing w:after="60" w:before="200"/>
      </w:pPr>
      <w:r>
        <w:rPr>
          <w:b/>
          <w:bCs/>
          <w:sz w:val="20"/>
          <w:szCs w:val="20"/>
        </w:rPr>
        <w:t xml:space="preserve">Records approved before per-revision approval existed</w:t>
      </w:r>
      <w:r>
        <w:rPr>
          <w:color w:val="4338CA"/>
          <w:sz w:val="17"/>
          <w:szCs w:val="17"/>
        </w:rPr>
        <w:t xml:space="preserve">   11.70</w:t>
      </w:r>
    </w:p>
    <w:p>
      <w:pPr>
        <w:spacing w:after="120"/>
      </w:pPr>
      <w:r>
        <w:rPr>
          <w:color w:val="475569"/>
          <w:sz w:val="17"/>
          <w:szCs w:val="17"/>
        </w:rPr>
        <w:t xml:space="preserve">Approval now belongs to a revision: opening the next one creates new rows and leaves those of the released revision untouched, with their signer, their timestamp, the signed snapshot and the fingerprint of the attested content. An operational qualification case releases, revises, and fails if the link is lost. What remains are the revisions approved BEFORE this change: their rows had been rewritten, and no migration can reconstitute them without inventing a link. Their signatures survive in the audit trail, append-only, with the fingerprint of the attested content; the inspection archive attaches them by that route and says so row by row in its manifest. This point closes itself as documents are revised.</w:t>
      </w:r>
    </w:p>
    <w:p>
      <w:pPr>
        <w:spacing w:after="60" w:before="200"/>
      </w:pPr>
      <w:r>
        <w:rPr>
          <w:b/>
          <w:bCs/>
          <w:sz w:val="20"/>
          <w:szCs w:val="20"/>
        </w:rPr>
        <w:t xml:space="preserve">Scope of the legal hold</w:t>
      </w:r>
      <w:r>
        <w:rPr>
          <w:color w:val="4338CA"/>
          <w:sz w:val="17"/>
          <w:szCs w:val="17"/>
        </w:rPr>
        <w:t xml:space="preserve">   11.10(c)</w:t>
      </w:r>
    </w:p>
    <w:p>
      <w:pPr>
        <w:spacing w:after="120"/>
      </w:pPr>
      <w:r>
        <w:rPr>
          <w:color w:val="475569"/>
          <w:sz w:val="17"/>
          <w:szCs w:val="17"/>
        </w:rPr>
        <w:t xml:space="preserve">The legal hold applies to the whole installation: Filum cannot restrict a suspension to one programme, lot or matter. Deliberately coarse — too wide a scope is inconvenient, too narrow a one lets a piece of evidence be destroyed — but worth knowing if your procedure requires a scope per dispute.</w:t>
      </w:r>
    </w:p>
    <w:p>
      <w:pPr>
        <w:spacing w:after="60" w:before="200"/>
      </w:pPr>
      <w:r>
        <w:rPr>
          <w:b/>
          <w:bCs/>
          <w:sz w:val="20"/>
          <w:szCs w:val="20"/>
        </w:rPr>
        <w:t xml:space="preserve">Whoever issues a token sees it</w:t>
      </w:r>
      <w:r>
        <w:rPr>
          <w:color w:val="4338CA"/>
          <w:sz w:val="17"/>
          <w:szCs w:val="17"/>
        </w:rPr>
        <w:t xml:space="preserve">   11.200(a)(3)</w:t>
      </w:r>
    </w:p>
    <w:p>
      <w:pPr>
        <w:spacing w:after="120"/>
      </w:pPr>
      <w:r>
        <w:rPr>
          <w:color w:val="475569"/>
          <w:sz w:val="17"/>
          <w:szCs w:val="17"/>
        </w:rPr>
        <w:t xml:space="preserve">The administrator issuing a reset token reads it on screen, since they must hand it to its holder. Nothing technically prevents them from redeeming it themselves. This residue is irreducible without an outbound channel — which Filum does not have, by construction: nothing leaves your infrastructure. It is handled by procedure: administrator accountability, audit-trail review, and the instruction given to holders to report a token refused as already used.</w:t>
      </w:r>
    </w:p>
    <w:p>
      <w:pPr>
        <w:pStyle w:val="Heading1"/>
        <w:spacing w:after="140" w:before="320"/>
      </w:pPr>
      <w:r>
        <w:t xml:space="preserve">5. Wording you can use in your own documents</w:t>
      </w:r>
    </w:p>
    <w:p>
      <w:pPr>
        <w:spacing w:after="140"/>
      </w:pPr>
      <w:r>
        <w:rPr>
          <w:sz w:val="20"/>
          <w:szCs w:val="20"/>
        </w:rPr>
        <w:t xml:space="preserve">If you have to describe Filum in your quality file, the following wording is accurate and defensible before an inspector:</w:t>
      </w:r>
    </w:p>
    <w:p>
      <w:pPr>
        <w:spacing w:after="200"/>
        <w:ind w:left="400" w:right="400"/>
      </w:pPr>
      <w:r>
        <w:rPr>
          <w:i/>
          <w:iCs/>
          <w:sz w:val="17"/>
          <w:szCs w:val="17"/>
        </w:rPr>
        <w:t xml:space="preserve">“Filum is designed to support our organisation's 21 CFR Part 11 and ISO 13485 compliance. The software implements the technical controls the regulation depends on: restricted and authenticated access, role-based authority checks enforced server-side, an audit trail timestamped by the system and attributed by name, a document lifecycle with enforced states and automatic invalidation of signatures whenever content is reopened, and an electronic signature requiring two components at every application. The §11.100(c) certification to the FDA, validation of the system in our environment, identity verification of signers, staff training and the written accountability policies remain our responsibility. The vendor supplies a clause-by-clause matrix stating what the software implements and what belongs to our procedures.”</w:t>
      </w:r>
    </w:p>
    <w:p>
      <w:pPr>
        <w:spacing w:after="200"/>
      </w:pPr>
      <w:r>
        <w:rPr>
          <w:b/>
          <w:bCs/>
          <w:sz w:val="20"/>
          <w:szCs w:val="20"/>
        </w:rPr>
        <w:t xml:space="preserve">Conversely, the phrase “Filum is 21 CFR Part 11 compliant” must appear nowhere: it would be legally inoperative and would discredit you before an inspector.</w:t>
      </w:r>
    </w:p>
    <w:sectPr>
      <w:headerReference w:type="default" r:id="rId7"/>
      <w:footerReference w:type="default" r:id="rId8"/>
      <w:pgSz w:w="11906" w:h="16838" w:orient="portrait"/>
      <w:pgMar w:top="900" w:right="800" w:bottom="900" w:left="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75569"/>
        <w:sz w:val="15"/>
        <w:szCs w:val="15"/>
      </w:rPr>
      <w:t xml:space="preserve">Page </w:t>
    </w:r>
    <w:r>
      <w:rPr>
        <w:color w:val="475569"/>
        <w:sz w:val="15"/>
        <w:szCs w:val="15"/>
      </w:rPr>
      <w:fldChar w:fldCharType="begin"/>
      <w:instrText xml:space="preserve">PAGE</w:instrText>
      <w:fldChar w:fldCharType="separate"/>
      <w:fldChar w:fldCharType="end"/>
    </w:r>
    <w:r>
      <w:rPr>
        <w:color w:val="475569"/>
        <w:sz w:val="15"/>
        <w:szCs w:val="15"/>
      </w:rPr>
      <w:t xml:space="preserve"> of </w:t>
    </w:r>
    <w:r>
      <w:rPr>
        <w:color w:val="475569"/>
        <w:sz w:val="15"/>
        <w:szCs w:val="15"/>
      </w:rPr>
      <w:fldChar w:fldCharType="begin"/>
      <w:instrText xml:space="preserve">NUMPAGES</w:instrText>
      <w:fldChar w:fldCharType="separate"/>
      <w:fldChar w:fldCharType="end"/>
    </w:r>
    <w:r>
      <w:rPr>
        <w:color w:val="475569"/>
        <w:sz w:val="15"/>
        <w:szCs w:val="15"/>
      </w:rPr>
      <w:t xml:space="preserve">   ·   This document describes the software as delivered. It is updated at every release.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color w:val="475569"/>
        <w:sz w:val="15"/>
        <w:szCs w:val="15"/>
      </w:rPr>
      <w:t xml:space="preserve">Filum — 21 CFR Part 11 matrix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40" w:before="320"/>
    </w:pPr>
    <w:rPr>
      <w:rFonts w:ascii="Calibri" w:cs="Calibri" w:eastAsia="Calibri" w:hAnsi="Calibri"/>
      <w:b/>
      <w:bCs/>
      <w:color w:val="4338C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2026-10-01T11:27:04.553Z</dcterms:created>
  <dcterms:modified xsi:type="dcterms:W3CDTF">2026-10-01T11:27:04.554Z</dcterms:modified>
</cp:coreProperties>
</file>

<file path=docProps/custom.xml><?xml version="1.0" encoding="utf-8"?>
<Properties xmlns="http://schemas.openxmlformats.org/officeDocument/2006/custom-properties" xmlns:vt="http://schemas.openxmlformats.org/officeDocument/2006/docPropsVTypes"/>
</file>