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Correspondence note — Annex 11</w:t>
      </w:r>
    </w:p>
    <w:p>
      <w:pPr>
        <w:spacing w:after="700"/>
        <w:jc w:val="center"/>
      </w:pPr>
      <w:r>
        <w:rPr>
          <w:color w:val="475569"/>
          <w:sz w:val="22"/>
          <w:szCs w:val="22"/>
        </w:rPr>
        <w:t xml:space="preserve">EU GMP, draft revision of 7 July 2025 · This is not a declaration of compliance</w:t>
      </w:r>
    </w:p>
    <w:p>
      <w:pPr>
        <w:pStyle w:val="Heading1"/>
        <w:spacing w:after="140" w:before="320"/>
      </w:pPr>
      <w:r>
        <w:t xml:space="preserve">1. To be read before anything else</w:t>
      </w:r>
    </w:p>
    <w:p>
      <w:pPr>
        <w:spacing w:after="160"/>
      </w:pPr>
      <w:r>
        <w:rPr>
          <w:sz w:val="20"/>
          <w:szCs w:val="20"/>
        </w:rPr>
        <w:t xml:space="preserve">Three reservations govern this whole document. They are not stylistic caution: they determine what this document can and cannot be used to demonstrate.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1</w:t>
            </w:r>
          </w:p>
        </w:tc>
        <w:tc>
          <w:tcPr>
            <w:tcW w:type="pct" w:w="94%"/>
            <w:shd w:fill="FEF3C7"/>
            <w:tcMar>
              <w:top w:type="dxa" w:w="80"/>
              <w:left w:type="dxa" w:w="110"/>
              <w:bottom w:type="dxa" w:w="80"/>
              <w:right w:type="dxa" w:w="110"/>
            </w:tcMar>
          </w:tcPr>
          <w:p>
            <w:pPr>
              <w:spacing w:after="0"/>
            </w:pPr>
            <w:r>
              <w:rPr>
                <w:sz w:val="17"/>
                <w:szCs w:val="17"/>
              </w:rPr>
              <w:t xml:space="preserve">Annex 11 belongs to the good manufacturing practice of medicinal products. It does not apply of its own force to software for medical device design control: for a device or IVD manufacturer, the equivalent requirement is ISO 13485 §4.1.6, addressed by the validation file. This note is addressed to organisations that apply Annex 11 voluntarily or that operate under both frameworks.</w:t>
            </w:r>
          </w:p>
        </w:tc>
      </w:tr>
    </w:tbl>
    <w:p>
      <w:pPr>
        <w:spacing w:after="8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2</w:t>
            </w:r>
          </w:p>
        </w:tc>
        <w:tc>
          <w:tcPr>
            <w:tcW w:type="pct" w:w="94%"/>
            <w:shd w:fill="FEF3C7"/>
            <w:tcMar>
              <w:top w:type="dxa" w:w="80"/>
              <w:left w:type="dxa" w:w="110"/>
              <w:bottom w:type="dxa" w:w="80"/>
              <w:right w:type="dxa" w:w="110"/>
            </w:tcMar>
          </w:tcPr>
          <w:p>
            <w:pPr>
              <w:spacing w:after="0"/>
            </w:pPr>
            <w:r>
              <w:rPr>
                <w:sz w:val="17"/>
                <w:szCs w:val="17"/>
              </w:rPr>
              <w:t xml:space="preserve">The text referred to is a DRAFT, published on 7 July 2025, whose consultation closed on 7 October 2025. The final version is expected in mid-2026. Chapter titles and wording may change: this note will be revised when the definitive text is published.</w:t>
            </w:r>
          </w:p>
        </w:tc>
      </w:tr>
    </w:tbl>
    <w:p>
      <w:pPr>
        <w:spacing w:after="8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
            <w:shd w:fill="FEF3C7"/>
            <w:tcMar>
              <w:top w:type="dxa" w:w="80"/>
              <w:left w:type="dxa" w:w="110"/>
              <w:bottom w:type="dxa" w:w="80"/>
              <w:right w:type="dxa" w:w="110"/>
            </w:tcMar>
          </w:tcPr>
          <w:p>
            <w:pPr>
              <w:spacing w:after="0"/>
              <w:jc w:val="center"/>
            </w:pPr>
            <w:r>
              <w:rPr>
                <w:b/>
                <w:bCs/>
                <w:color w:val="92400E"/>
                <w:sz w:val="24"/>
                <w:szCs w:val="24"/>
              </w:rPr>
              <w:t xml:space="preserve">3</w:t>
            </w:r>
          </w:p>
        </w:tc>
        <w:tc>
          <w:tcPr>
            <w:tcW w:type="pct" w:w="94%"/>
            <w:shd w:fill="FEF3C7"/>
            <w:tcMar>
              <w:top w:type="dxa" w:w="80"/>
              <w:left w:type="dxa" w:w="110"/>
              <w:bottom w:type="dxa" w:w="80"/>
              <w:right w:type="dxa" w:w="110"/>
            </w:tcMar>
          </w:tcPr>
          <w:p>
            <w:pPr>
              <w:spacing w:after="0"/>
            </w:pPr>
            <w:r>
              <w:rPr>
                <w:sz w:val="17"/>
                <w:szCs w:val="17"/>
              </w:rPr>
              <w:t xml:space="preserve">No claim of compliance is made here, and none will be. The compliance of a computerised system is pronounced by the organisation operating it, on its intended use and in its environment — never by the vendor.</w:t>
            </w:r>
          </w:p>
        </w:tc>
      </w:tr>
    </w:tbl>
    <w:p>
      <w:pPr>
        <w:spacing w:after="80"/>
      </w:pPr>
      <w:r>
        <w:rPr>
          <w:sz w:val="20"/>
          <w:szCs w:val="20"/>
        </w:rPr>
        <w:t xml:space="preserve"/>
      </w:r>
    </w:p>
    <w:p>
      <w:pPr>
        <w:pStyle w:val="Heading1"/>
        <w:spacing w:after="140" w:before="320"/>
      </w:pPr>
      <w:r>
        <w:t xml:space="preserve">2. Why this note exists nonetheless</w:t>
      </w:r>
    </w:p>
    <w:p>
      <w:pPr>
        <w:spacing w:after="160"/>
      </w:pPr>
      <w:r>
        <w:rPr>
          <w:sz w:val="20"/>
          <w:szCs w:val="20"/>
        </w:rPr>
        <w:t xml:space="preserve">Because the question gets asked. A quality assurance function coming from pharmaceuticals, a group operating both pharmaceutical sites and a device activity, a combination product manufacturer: in each of these cases, someone will ask how Filum stands with respect to Annex 11. Answering “not applicable” is correct, but insufficient — the person wants to know whether the controls they know exist, under another name.</w:t>
      </w:r>
    </w:p>
    <w:p>
      <w:pPr>
        <w:spacing w:after="160"/>
      </w:pPr>
      <w:r>
        <w:rPr>
          <w:sz w:val="20"/>
          <w:szCs w:val="20"/>
        </w:rPr>
        <w:t xml:space="preserve">This document answers that question, and no other. It does not replace the assessment your organisation must carry out, and it cannot be cited as evidence of compliance with a text that has not yet been adopted.</w:t>
      </w:r>
    </w:p>
    <w:p>
      <w:pPr>
        <w:pStyle w:val="Heading1"/>
        <w:spacing w:after="140" w:before="320"/>
      </w:pPr>
      <w:r>
        <w:t xml:space="preserve">3. What changes in the 2025 draft</w:t>
      </w:r>
    </w:p>
    <w:p>
      <w:pPr>
        <w:spacing w:after="140"/>
      </w:pPr>
      <w:r>
        <w:rPr>
          <w:sz w:val="20"/>
          <w:szCs w:val="20"/>
        </w:rPr>
        <w:t xml:space="preserve">The Annex 11 in force dates from 2011 and runs to five pages. The draft published on 7 July 2025 runs to nineteen, organised in seventeen sections followed by a glossary. The most notable additions:</w:t>
      </w:r>
    </w:p>
    <w:p>
      <w:pPr>
        <w:pStyle w:val="ListParagraph"/>
        <w:numPr>
          <w:ilvl w:val="0"/>
          <w:numId w:val="1"/>
        </w:numPr>
        <w:spacing w:after="80"/>
      </w:pPr>
      <w:r>
        <w:rPr>
          <w:sz w:val="17"/>
          <w:szCs w:val="17"/>
        </w:rPr>
        <w:t xml:space="preserve">An entire chapter on system alarms, absent from the 2011 version.</w:t>
      </w:r>
    </w:p>
    <w:p>
      <w:pPr>
        <w:pStyle w:val="ListParagraph"/>
        <w:numPr>
          <w:ilvl w:val="0"/>
          <w:numId w:val="1"/>
        </w:numPr>
        <w:spacing w:after="80"/>
      </w:pPr>
      <w:r>
        <w:rPr>
          <w:sz w:val="17"/>
          <w:szCs w:val="17"/>
        </w:rPr>
        <w:t xml:space="preserve">A far more prescriptive suppliers and service providers section, listing nine elements the contract must cover.</w:t>
      </w:r>
    </w:p>
    <w:p>
      <w:pPr>
        <w:pStyle w:val="ListParagraph"/>
        <w:numPr>
          <w:ilvl w:val="0"/>
          <w:numId w:val="1"/>
        </w:numPr>
        <w:spacing w:after="80"/>
      </w:pPr>
      <w:r>
        <w:rPr>
          <w:sz w:val="17"/>
          <w:szCs w:val="17"/>
        </w:rPr>
        <w:t xml:space="preserve">Ten subsections devoted to the audit trail, including the explicit requirement of a periodic REVIEW at a risk-based frequency — having the trail is no longer enough, you must prove you read it.</w:t>
      </w:r>
    </w:p>
    <w:p>
      <w:pPr>
        <w:pStyle w:val="ListParagraph"/>
        <w:numPr>
          <w:ilvl w:val="0"/>
          <w:numId w:val="1"/>
        </w:numPr>
        <w:spacing w:after="80"/>
      </w:pPr>
      <w:r>
        <w:rPr>
          <w:sz w:val="17"/>
          <w:szCs w:val="17"/>
        </w:rPr>
        <w:t xml:space="preserve">Some twenty security subsections: patch management, penetration testing, firewalls, removable media control.</w:t>
      </w:r>
    </w:p>
    <w:p>
      <w:pPr>
        <w:pStyle w:val="ListParagraph"/>
        <w:numPr>
          <w:ilvl w:val="0"/>
          <w:numId w:val="1"/>
        </w:numPr>
        <w:spacing w:after="80"/>
      </w:pPr>
      <w:r>
        <w:rPr>
          <w:sz w:val="17"/>
          <w:szCs w:val="17"/>
        </w:rPr>
        <w:t xml:space="preserve">ALCOA+ named explicitly, where the 2011 version confined itself to accuracy and availability.</w:t>
      </w:r>
    </w:p>
    <w:p>
      <w:pPr>
        <w:spacing w:after="160"/>
      </w:pPr>
      <w:r>
        <w:rPr>
          <w:b/>
          <w:bCs/>
          <w:sz w:val="20"/>
          <w:szCs w:val="20"/>
        </w:rPr>
        <w:t xml:space="preserve">Two of these additions touch Filum directly, and it is better said here than elsewhere: periodic audit trail review is not yet tooled in the software (it is on the development plan), and no penetration test by an independent third party has been conducted to date.</w:t>
      </w:r>
    </w:p>
    <w:p>
      <w:pPr>
        <w:pStyle w:val="Heading1"/>
        <w:spacing w:after="140" w:before="320"/>
      </w:pPr>
      <w:r>
        <w:t xml:space="preserve">4. How to read the correspondence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4%"/>
            <w:shd w:fill="DCFCE7"/>
            <w:tcMar>
              <w:top w:type="dxa" w:w="80"/>
              <w:left w:type="dxa" w:w="110"/>
              <w:bottom w:type="dxa" w:w="80"/>
              <w:right w:type="dxa" w:w="110"/>
            </w:tcMar>
          </w:tcPr>
          <w:p>
            <w:pPr>
              <w:spacing w:after="0"/>
            </w:pPr>
            <w:r>
              <w:rPr>
                <w:b/>
                <w:bCs/>
                <w:color w:val="166534"/>
                <w:sz w:val="17"/>
                <w:szCs w:val="17"/>
              </w:rPr>
              <w:t xml:space="preserve">Provided by the software</w:t>
            </w:r>
          </w:p>
        </w:tc>
        <w:tc>
          <w:tcPr>
            <w:tcW w:type="pct" w:w="76%"/>
            <w:tcMar>
              <w:top w:type="dxa" w:w="80"/>
              <w:left w:type="dxa" w:w="110"/>
              <w:bottom w:type="dxa" w:w="80"/>
              <w:right w:type="dxa" w:w="110"/>
            </w:tcMar>
          </w:tcPr>
          <w:p>
            <w:pPr>
              <w:spacing w:after="0"/>
            </w:pPr>
            <w:r>
              <w:rPr>
                <w:sz w:val="17"/>
                <w:szCs w:val="17"/>
              </w:rPr>
              <w:t xml:space="preserve">The software covers the expectation as far as software can, and the behaviour can be verified live.</w:t>
            </w:r>
          </w:p>
        </w:tc>
      </w:tr>
      <w:tr>
        <w:tc>
          <w:tcPr>
            <w:tcW w:type="pct" w:w="24%"/>
            <w:shd w:fill="FEF3C7"/>
            <w:tcMar>
              <w:top w:type="dxa" w:w="80"/>
              <w:left w:type="dxa" w:w="110"/>
              <w:bottom w:type="dxa" w:w="80"/>
              <w:right w:type="dxa" w:w="110"/>
            </w:tcMar>
          </w:tcPr>
          <w:p>
            <w:pPr>
              <w:spacing w:after="0"/>
            </w:pPr>
            <w:r>
              <w:rPr>
                <w:b/>
                <w:bCs/>
                <w:color w:val="92400E"/>
                <w:sz w:val="17"/>
                <w:szCs w:val="17"/>
              </w:rPr>
              <w:t xml:space="preserve">Partial</w:t>
            </w:r>
          </w:p>
        </w:tc>
        <w:tc>
          <w:tcPr>
            <w:tcW w:type="pct" w:w="76%"/>
            <w:tcMar>
              <w:top w:type="dxa" w:w="80"/>
              <w:left w:type="dxa" w:w="110"/>
              <w:bottom w:type="dxa" w:w="80"/>
              <w:right w:type="dxa" w:w="110"/>
            </w:tcMar>
          </w:tcPr>
          <w:p>
            <w:pPr>
              <w:spacing w:after="0"/>
            </w:pPr>
            <w:r>
              <w:rPr>
                <w:sz w:val="17"/>
                <w:szCs w:val="17"/>
              </w:rPr>
              <w:t xml:space="preserve">The software covers part of it; what is missing is stated plainly in the right-hand column.</w:t>
            </w:r>
          </w:p>
        </w:tc>
      </w:tr>
      <w:tr>
        <w:tc>
          <w:tcPr>
            <w:tcW w:type="pct" w:w="24%"/>
            <w:shd w:fill="DBEAFE"/>
            <w:tcMar>
              <w:top w:type="dxa" w:w="80"/>
              <w:left w:type="dxa" w:w="110"/>
              <w:bottom w:type="dxa" w:w="80"/>
              <w:right w:type="dxa" w:w="110"/>
            </w:tcMar>
          </w:tcPr>
          <w:p>
            <w:pPr>
              <w:spacing w:after="0"/>
            </w:pPr>
            <w:r>
              <w:rPr>
                <w:b/>
                <w:bCs/>
                <w:color w:val="1E40AF"/>
                <w:sz w:val="17"/>
                <w:szCs w:val="17"/>
              </w:rPr>
              <w:t xml:space="preserve">Your organisation</w:t>
            </w:r>
          </w:p>
        </w:tc>
        <w:tc>
          <w:tcPr>
            <w:tcW w:type="pct" w:w="76%"/>
            <w:tcMar>
              <w:top w:type="dxa" w:w="80"/>
              <w:left w:type="dxa" w:w="110"/>
              <w:bottom w:type="dxa" w:w="80"/>
              <w:right w:type="dxa" w:w="110"/>
            </w:tcMar>
          </w:tcPr>
          <w:p>
            <w:pPr>
              <w:spacing w:after="0"/>
            </w:pPr>
            <w:r>
              <w:rPr>
                <w:sz w:val="17"/>
                <w:szCs w:val="17"/>
              </w:rPr>
              <w:t xml:space="preserve">The expectation belongs to your procedures. No line of code can satisfy it for you.</w:t>
            </w:r>
          </w:p>
        </w:tc>
      </w:tr>
      <w:tr>
        <w:tc>
          <w:tcPr>
            <w:tcW w:type="pct" w:w="24%"/>
            <w:shd w:fill="F1F5F9"/>
            <w:tcMar>
              <w:top w:type="dxa" w:w="80"/>
              <w:left w:type="dxa" w:w="110"/>
              <w:bottom w:type="dxa" w:w="80"/>
              <w:right w:type="dxa" w:w="110"/>
            </w:tcMar>
          </w:tcPr>
          <w:p>
            <w:pPr>
              <w:spacing w:after="0"/>
            </w:pPr>
            <w:r>
              <w:rPr>
                <w:b/>
                <w:bCs/>
                <w:color w:val="475569"/>
                <w:sz w:val="17"/>
                <w:szCs w:val="17"/>
              </w:rPr>
              <w:t xml:space="preserve">Out of scope</w:t>
            </w:r>
          </w:p>
        </w:tc>
        <w:tc>
          <w:tcPr>
            <w:tcW w:type="pct" w:w="76%"/>
            <w:tcMar>
              <w:top w:type="dxa" w:w="80"/>
              <w:left w:type="dxa" w:w="110"/>
              <w:bottom w:type="dxa" w:w="80"/>
              <w:right w:type="dxa" w:w="110"/>
            </w:tcMar>
          </w:tcPr>
          <w:p>
            <w:pPr>
              <w:spacing w:after="0"/>
            </w:pPr>
            <w:r>
              <w:rPr>
                <w:sz w:val="17"/>
                <w:szCs w:val="17"/>
              </w:rPr>
              <w:t xml:space="preserve">The expectation has no object in this kind of system, for the reason given.</w:t>
            </w:r>
          </w:p>
        </w:tc>
      </w:tr>
    </w:tbl>
    <w:p>
      <w:pPr>
        <w:pStyle w:val="Heading1"/>
        <w:spacing w:after="140" w:before="320"/>
      </w:pPr>
      <w:r>
        <w:t xml:space="preserve">5. Chapter-by-chapter correspondence</w:t>
      </w:r>
    </w:p>
    <w:p>
      <w:pPr>
        <w:spacing w:after="140"/>
      </w:pPr>
      <w:r>
        <w:rPr>
          <w:i/>
          <w:iCs/>
          <w:color w:val="475569"/>
          <w:sz w:val="17"/>
          <w:szCs w:val="17"/>
        </w:rPr>
        <w:t xml:space="preserve">Chapter titles follow the July 2025 draft and not the 2011 version. They are liable to change before the definitive text is published.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6%"/>
            <w:shd w:fill="E0E7FF"/>
            <w:tcMar>
              <w:top w:type="dxa" w:w="80"/>
              <w:left w:type="dxa" w:w="110"/>
              <w:bottom w:type="dxa" w:w="80"/>
              <w:right w:type="dxa" w:w="110"/>
            </w:tcMar>
          </w:tcPr>
          <w:p>
            <w:pPr>
              <w:spacing w:after="0"/>
            </w:pPr>
            <w:r>
              <w:rPr>
                <w:b/>
                <w:bCs/>
                <w:sz w:val="17"/>
                <w:szCs w:val="17"/>
              </w:rPr>
              <w:t xml:space="preserve">Chapter / status</w:t>
            </w:r>
          </w:p>
        </w:tc>
        <w:tc>
          <w:tcPr>
            <w:tcW w:type="pct" w:w="25%"/>
            <w:shd w:fill="E0E7FF"/>
            <w:tcMar>
              <w:top w:type="dxa" w:w="80"/>
              <w:left w:type="dxa" w:w="110"/>
              <w:bottom w:type="dxa" w:w="80"/>
              <w:right w:type="dxa" w:w="110"/>
            </w:tcMar>
          </w:tcPr>
          <w:p>
            <w:pPr>
              <w:spacing w:after="0"/>
            </w:pPr>
            <w:r>
              <w:rPr>
                <w:b/>
                <w:bCs/>
                <w:sz w:val="17"/>
                <w:szCs w:val="17"/>
              </w:rPr>
              <w:t xml:space="preserve">What the draft expects</w:t>
            </w:r>
          </w:p>
        </w:tc>
        <w:tc>
          <w:tcPr>
            <w:tcW w:type="pct" w:w="34%"/>
            <w:shd w:fill="E0E7FF"/>
            <w:tcMar>
              <w:top w:type="dxa" w:w="80"/>
              <w:left w:type="dxa" w:w="110"/>
              <w:bottom w:type="dxa" w:w="80"/>
              <w:right w:type="dxa" w:w="110"/>
            </w:tcMar>
          </w:tcPr>
          <w:p>
            <w:pPr>
              <w:spacing w:after="0"/>
            </w:pPr>
            <w:r>
              <w:rPr>
                <w:b/>
                <w:bCs/>
                <w:sz w:val="17"/>
                <w:szCs w:val="17"/>
              </w:rPr>
              <w:t xml:space="preserve">What Filum provides</w:t>
            </w:r>
          </w:p>
        </w:tc>
        <w:tc>
          <w:tcPr>
            <w:tcW w:type="pct" w:w="25%"/>
            <w:shd w:fill="E0E7FF"/>
            <w:tcMar>
              <w:top w:type="dxa" w:w="80"/>
              <w:left w:type="dxa" w:w="110"/>
              <w:bottom w:type="dxa" w:w="80"/>
              <w:right w:type="dxa" w:w="110"/>
            </w:tcMar>
          </w:tcPr>
          <w:p>
            <w:pPr>
              <w:spacing w:after="0"/>
            </w:pPr>
            <w:r>
              <w:rPr>
                <w:b/>
                <w:bCs/>
                <w:sz w:val="17"/>
                <w:szCs w:val="17"/>
              </w:rPr>
              <w:t xml:space="preserve">What belongs to your organisation</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Risk management</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Control effort is proportionate to the risk that system failure places on product and data.</w:t>
            </w:r>
          </w:p>
        </w:tc>
        <w:tc>
          <w:tcPr>
            <w:tcW w:type="pct" w:w="34%"/>
            <w:tcMar>
              <w:top w:type="dxa" w:w="80"/>
              <w:left w:type="dxa" w:w="110"/>
              <w:bottom w:type="dxa" w:w="80"/>
              <w:right w:type="dxa" w:w="110"/>
            </w:tcMar>
          </w:tcPr>
          <w:p>
            <w:pPr>
              <w:spacing w:after="0"/>
            </w:pPr>
            <w:r>
              <w:rPr>
                <w:sz w:val="17"/>
                <w:szCs w:val="17"/>
              </w:rPr>
              <w:t xml:space="preserve">Every validation requirement carries a risk level, and that level determines the depth of verification. The validation file sets out the breakdown and justifies it requirement by requirement.</w:t>
            </w:r>
          </w:p>
        </w:tc>
        <w:tc>
          <w:tcPr>
            <w:tcW w:type="pct" w:w="25%"/>
            <w:tcMar>
              <w:top w:type="dxa" w:w="80"/>
              <w:left w:type="dxa" w:w="110"/>
              <w:bottom w:type="dxa" w:w="80"/>
              <w:right w:type="dxa" w:w="110"/>
            </w:tcMar>
          </w:tcPr>
          <w:p>
            <w:pPr>
              <w:spacing w:after="0"/>
            </w:pPr>
            <w:r>
              <w:rPr>
                <w:sz w:val="17"/>
                <w:szCs w:val="17"/>
              </w:rPr>
              <w:t xml:space="preserve">The risk assessment for YOUR intended use: which records the software carries at your site, and which decisions rest on them.</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Personnel</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Roles, responsibilities and authorisations are defined, and access reflects the actual function.</w:t>
            </w:r>
          </w:p>
        </w:tc>
        <w:tc>
          <w:tcPr>
            <w:tcW w:type="pct" w:w="34%"/>
            <w:tcMar>
              <w:top w:type="dxa" w:w="80"/>
              <w:left w:type="dxa" w:w="110"/>
              <w:bottom w:type="dxa" w:w="80"/>
              <w:right w:type="dxa" w:w="110"/>
            </w:tcMar>
          </w:tcPr>
          <w:p>
            <w:pPr>
              <w:spacing w:after="0"/>
            </w:pPr>
            <w:r>
              <w:rPr>
                <w:sz w:val="17"/>
                <w:szCs w:val="17"/>
              </w:rPr>
              <w:t xml:space="preserve">Four roles of increasing authority, enforced server-side on every operation. A qualification case replays the complete truth table of the twelve role × threshold combinations at every version.</w:t>
            </w:r>
          </w:p>
        </w:tc>
        <w:tc>
          <w:tcPr>
            <w:tcW w:type="pct" w:w="25%"/>
            <w:tcMar>
              <w:top w:type="dxa" w:w="80"/>
              <w:left w:type="dxa" w:w="110"/>
              <w:bottom w:type="dxa" w:w="80"/>
              <w:right w:type="dxa" w:w="110"/>
            </w:tcMar>
          </w:tcPr>
          <w:p>
            <w:pPr>
              <w:spacing w:after="0"/>
            </w:pPr>
            <w:r>
              <w:rPr>
                <w:sz w:val="17"/>
                <w:szCs w:val="17"/>
              </w:rPr>
              <w:t xml:space="preserve">The named assignment of roles, its periodic review, and the joiner–leaver procedure.</w:t>
            </w:r>
          </w:p>
        </w:tc>
      </w:tr>
      <w:tr>
        <w:tc>
          <w:tcPr>
            <w:tcW w:type="pct" w:w="16%"/>
            <w:shd w:fill="DBEAFE"/>
            <w:tcMar>
              <w:top w:type="dxa" w:w="80"/>
              <w:left w:type="dxa" w:w="110"/>
              <w:bottom w:type="dxa" w:w="80"/>
              <w:right w:type="dxa" w:w="110"/>
            </w:tcMar>
          </w:tcPr>
          <w:p>
            <w:pPr>
              <w:spacing w:after="60"/>
            </w:pPr>
            <w:r>
              <w:rPr>
                <w:b/>
                <w:bCs/>
                <w:color w:val="4338CA"/>
                <w:sz w:val="17"/>
                <w:szCs w:val="17"/>
              </w:rPr>
              <w:t xml:space="preserve">Suppliers and service providers</w:t>
            </w:r>
          </w:p>
          <w:p>
            <w:pPr>
              <w:spacing w:after="0"/>
            </w:pPr>
            <w:r>
              <w:rPr>
                <w:b/>
                <w:bCs/>
                <w:color w:val="1E40AF"/>
                <w:sz w:val="15"/>
                <w:szCs w:val="15"/>
              </w:rPr>
              <w:t xml:space="preserve">Your organisation</w:t>
            </w:r>
          </w:p>
        </w:tc>
        <w:tc>
          <w:tcPr>
            <w:tcW w:type="pct" w:w="25%"/>
            <w:tcMar>
              <w:top w:type="dxa" w:w="80"/>
              <w:left w:type="dxa" w:w="110"/>
              <w:bottom w:type="dxa" w:w="80"/>
              <w:right w:type="dxa" w:w="110"/>
            </w:tcMar>
          </w:tcPr>
          <w:p>
            <w:pPr>
              <w:spacing w:after="0"/>
            </w:pPr>
            <w:r>
              <w:rPr>
                <w:sz w:val="17"/>
                <w:szCs w:val="17"/>
              </w:rPr>
              <w:t xml:space="preserve">The supplier is assessed, and the contract sets out respective responsibilities — the draft lists nine mandatory elements.</w:t>
            </w:r>
          </w:p>
        </w:tc>
        <w:tc>
          <w:tcPr>
            <w:tcW w:type="pct" w:w="34%"/>
            <w:tcMar>
              <w:top w:type="dxa" w:w="80"/>
              <w:left w:type="dxa" w:w="110"/>
              <w:bottom w:type="dxa" w:w="80"/>
              <w:right w:type="dxa" w:w="110"/>
            </w:tcMar>
          </w:tcPr>
          <w:p>
            <w:pPr>
              <w:spacing w:after="0"/>
            </w:pPr>
            <w:r>
              <w:rPr>
                <w:sz w:val="17"/>
                <w:szCs w:val="17"/>
              </w:rPr>
              <w:t xml:space="preserve">The validation file, the 21 CFR Part 11 matrix, the data integrity note and the retention note make up the supplier assessment file, provided without being asked.</w:t>
            </w:r>
          </w:p>
        </w:tc>
        <w:tc>
          <w:tcPr>
            <w:tcW w:type="pct" w:w="25%"/>
            <w:tcMar>
              <w:top w:type="dxa" w:w="80"/>
              <w:left w:type="dxa" w:w="110"/>
              <w:bottom w:type="dxa" w:w="80"/>
              <w:right w:type="dxa" w:w="110"/>
            </w:tcMar>
          </w:tcPr>
          <w:p>
            <w:pPr>
              <w:spacing w:after="0"/>
            </w:pPr>
            <w:r>
              <w:rPr>
                <w:sz w:val="17"/>
                <w:szCs w:val="17"/>
              </w:rPr>
              <w:t xml:space="preserve">The assessment itself, the contract and its content, and ongoing supplier monitoring.</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Validation</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Validation covers the complete lifecycle, and its continued status is reviewed at a documented frequency — a one-off qualification no longer suffices.</w:t>
            </w:r>
          </w:p>
        </w:tc>
        <w:tc>
          <w:tcPr>
            <w:tcW w:type="pct" w:w="34%"/>
            <w:tcMar>
              <w:top w:type="dxa" w:w="80"/>
              <w:left w:type="dxa" w:w="110"/>
              <w:bottom w:type="dxa" w:w="80"/>
              <w:right w:type="dxa" w:w="110"/>
            </w:tcMar>
          </w:tcPr>
          <w:p>
            <w:pPr>
              <w:spacing w:after="0"/>
            </w:pPr>
            <w:r>
              <w:rPr>
                <w:sz w:val="17"/>
                <w:szCs w:val="17"/>
              </w:rPr>
              <w:t xml:space="preserve">The operational qualification suite is replayed on every change to the code, delivered image included, and the validation file is produced from its results — never written. A check refuses to emit the file if the suite has not run.</w:t>
            </w:r>
          </w:p>
        </w:tc>
        <w:tc>
          <w:tcPr>
            <w:tcW w:type="pct" w:w="25%"/>
            <w:tcMar>
              <w:top w:type="dxa" w:w="80"/>
              <w:left w:type="dxa" w:w="110"/>
              <w:bottom w:type="dxa" w:w="80"/>
              <w:right w:type="dxa" w:w="110"/>
            </w:tcMar>
          </w:tcPr>
          <w:p>
            <w:pPr>
              <w:spacing w:after="0"/>
            </w:pPr>
            <w:r>
              <w:rPr>
                <w:sz w:val="17"/>
                <w:szCs w:val="17"/>
              </w:rPr>
              <w:t xml:space="preserve">Installation qualification, performance qualification in your environment, and the review frequency of the validated state.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Data</w:t>
            </w:r>
          </w:p>
          <w:p>
            <w:pPr>
              <w:spacing w:after="0"/>
            </w:pPr>
            <w:r>
              <w:rPr>
                <w:b/>
                <w:bCs/>
                <w:color w:val="166534"/>
                <w:sz w:val="15"/>
                <w:szCs w:val="15"/>
              </w:rPr>
              <w:t xml:space="preserve">Provided by the software</w:t>
            </w:r>
          </w:p>
        </w:tc>
        <w:tc>
          <w:tcPr>
            <w:tcW w:type="pct" w:w="25%"/>
            <w:tcMar>
              <w:top w:type="dxa" w:w="80"/>
              <w:left w:type="dxa" w:w="110"/>
              <w:bottom w:type="dxa" w:w="80"/>
              <w:right w:type="dxa" w:w="110"/>
            </w:tcMar>
          </w:tcPr>
          <w:p>
            <w:pPr>
              <w:spacing w:after="0"/>
            </w:pPr>
            <w:r>
              <w:rPr>
                <w:sz w:val="17"/>
                <w:szCs w:val="17"/>
              </w:rPr>
              <w:t xml:space="preserve">Data comply with ALCOA+: attributable, legible, contemporaneous, original, accurate, complete, consistent, enduring, available.</w:t>
            </w:r>
          </w:p>
        </w:tc>
        <w:tc>
          <w:tcPr>
            <w:tcW w:type="pct" w:w="34%"/>
            <w:tcMar>
              <w:top w:type="dxa" w:w="80"/>
              <w:left w:type="dxa" w:w="110"/>
              <w:bottom w:type="dxa" w:w="80"/>
              <w:right w:type="dxa" w:w="110"/>
            </w:tcMar>
          </w:tcPr>
          <w:p>
            <w:pPr>
              <w:spacing w:after="0"/>
            </w:pPr>
            <w:r>
              <w:rPr>
                <w:sz w:val="17"/>
                <w:szCs w:val="17"/>
              </w:rPr>
              <w:t xml:space="preserve">Every write is attributed to an authenticated person and timestamped by the server. Approved content is frozen and served as is, never regenerated; an alteration on disk is detected and refused rather than served.</w:t>
            </w:r>
          </w:p>
        </w:tc>
        <w:tc>
          <w:tcPr>
            <w:tcW w:type="pct" w:w="25%"/>
            <w:tcMar>
              <w:top w:type="dxa" w:w="80"/>
              <w:left w:type="dxa" w:w="110"/>
              <w:bottom w:type="dxa" w:w="80"/>
              <w:right w:type="dxa" w:w="110"/>
            </w:tcMar>
          </w:tcPr>
          <w:p>
            <w:pPr>
              <w:spacing w:after="0"/>
            </w:pPr>
            <w:r>
              <w:rPr>
                <w:sz w:val="17"/>
                <w:szCs w:val="17"/>
              </w:rPr>
              <w:t xml:space="preserve">The data review itself, and the decision on what constitutes a record at your site.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Audit trail</w:t>
            </w:r>
          </w:p>
          <w:p>
            <w:pPr>
              <w:spacing w:after="0"/>
            </w:pPr>
            <w:r>
              <w:rPr>
                <w:b/>
                <w:bCs/>
                <w:color w:val="166534"/>
                <w:sz w:val="15"/>
                <w:szCs w:val="15"/>
              </w:rPr>
              <w:t xml:space="preserve">Provided by the software</w:t>
            </w:r>
          </w:p>
        </w:tc>
        <w:tc>
          <w:tcPr>
            <w:tcW w:type="pct" w:w="25%"/>
            <w:tcMar>
              <w:top w:type="dxa" w:w="80"/>
              <w:left w:type="dxa" w:w="110"/>
              <w:bottom w:type="dxa" w:w="80"/>
              <w:right w:type="dxa" w:w="110"/>
            </w:tcMar>
          </w:tcPr>
          <w:p>
            <w:pPr>
              <w:spacing w:after="0"/>
            </w:pPr>
            <w:r>
              <w:rPr>
                <w:sz w:val="17"/>
                <w:szCs w:val="17"/>
              </w:rPr>
              <w:t xml:space="preserve">The trail records creation as well as modification and deletion, it is unalterable, and it is REVIEWED at a frequency defined by risk.</w:t>
            </w:r>
          </w:p>
        </w:tc>
        <w:tc>
          <w:tcPr>
            <w:tcW w:type="pct" w:w="34%"/>
            <w:tcMar>
              <w:top w:type="dxa" w:w="80"/>
              <w:left w:type="dxa" w:w="110"/>
              <w:bottom w:type="dxa" w:w="80"/>
              <w:right w:type="dxa" w:w="110"/>
            </w:tcMar>
          </w:tcPr>
          <w:p>
            <w:pPr>
              <w:spacing w:after="0"/>
            </w:pPr>
            <w:r>
              <w:rPr>
                <w:sz w:val="17"/>
                <w:szCs w:val="17"/>
              </w:rPr>
              <w:t xml:space="preserve">Append-only trail, cryptographically chained and readable in both languages: each entry carries the digest of the previous one — any modification or deletion made directly in the database is detected at the exact rank — and its message key, so an English-speaking team reads its log back without it ever having been rewritten. And the trail is REVIEWED: each review covers a range of RANKS, never dates, and starts exactly at the rank following the previous one — so no entry can be written into the gap between two reviews, and any coverage gap is computed. Risk-based triage rules designate what must be read one by one; the rest is counted, and the record says so. Every selected entry receives a reasoned verdict, closing is a signature bound to the digest of the reviewed content, and the distance between the last covered rank and the trail head is shown permanently. The review writes itself into the trail, hence into the next review's window: the reviewer's work is reviewed.</w:t>
            </w:r>
          </w:p>
        </w:tc>
        <w:tc>
          <w:tcPr>
            <w:tcW w:type="pct" w:w="25%"/>
            <w:tcMar>
              <w:top w:type="dxa" w:w="80"/>
              <w:left w:type="dxa" w:w="110"/>
              <w:bottom w:type="dxa" w:w="80"/>
              <w:right w:type="dxa" w:w="110"/>
            </w:tcMar>
          </w:tcPr>
          <w:p>
            <w:pPr>
              <w:spacing w:after="0"/>
            </w:pPr>
            <w:r>
              <w:rPr>
                <w:sz w:val="17"/>
                <w:szCs w:val="17"/>
              </w:rPr>
              <w:t xml:space="preserve">The review FREQUENCY — Filum imposes none: the right period depends on your activity volume and the criticality of the system, and it cannot decide for you. And the JUDGEMENT passed: telling a legitimate change from a suspicious one requires knowing the project, the context and the people. Filum presents, measures and records; it does not conclude. You also decide whether the reviewer's independence suffices: it is measured on every review and written into the record, never enforced — requiring it would make review impossible in a team of three.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Electronic signatures</w:t>
            </w:r>
          </w:p>
          <w:p>
            <w:pPr>
              <w:spacing w:after="0"/>
            </w:pPr>
            <w:r>
              <w:rPr>
                <w:b/>
                <w:bCs/>
                <w:color w:val="166534"/>
                <w:sz w:val="15"/>
                <w:szCs w:val="15"/>
              </w:rPr>
              <w:t xml:space="preserve">Provided by the software</w:t>
            </w:r>
          </w:p>
        </w:tc>
        <w:tc>
          <w:tcPr>
            <w:tcW w:type="pct" w:w="25%"/>
            <w:tcMar>
              <w:top w:type="dxa" w:w="80"/>
              <w:left w:type="dxa" w:w="110"/>
              <w:bottom w:type="dxa" w:w="80"/>
              <w:right w:type="dxa" w:w="110"/>
            </w:tcMar>
          </w:tcPr>
          <w:p>
            <w:pPr>
              <w:spacing w:after="0"/>
            </w:pPr>
            <w:r>
              <w:rPr>
                <w:sz w:val="17"/>
                <w:szCs w:val="17"/>
              </w:rPr>
              <w:t xml:space="preserve">The signature is uniquely linked to the signer and to the signed record, and its meaning is explicit.</w:t>
            </w:r>
          </w:p>
        </w:tc>
        <w:tc>
          <w:tcPr>
            <w:tcW w:type="pct" w:w="34%"/>
            <w:tcMar>
              <w:top w:type="dxa" w:w="80"/>
              <w:left w:type="dxa" w:w="110"/>
              <w:bottom w:type="dxa" w:w="80"/>
              <w:right w:type="dxa" w:w="110"/>
            </w:tcMar>
          </w:tcPr>
          <w:p>
            <w:pPr>
              <w:spacing w:after="0"/>
            </w:pPr>
            <w:r>
              <w:rPr>
                <w:sz w:val="17"/>
                <w:szCs w:val="17"/>
              </w:rPr>
              <w:t xml:space="preserve">Two components required at every application: the authenticated session and the password re-entered. The signature copies the digest of the frozen content it attests, carries the printed name, the meaning and the timestamp, and survives the opening of later revisions. No function allows anyone to set another person's password.</w:t>
            </w:r>
          </w:p>
        </w:tc>
        <w:tc>
          <w:tcPr>
            <w:tcW w:type="pct" w:w="25%"/>
            <w:tcMar>
              <w:top w:type="dxa" w:w="80"/>
              <w:left w:type="dxa" w:w="110"/>
              <w:bottom w:type="dxa" w:w="80"/>
              <w:right w:type="dxa" w:w="110"/>
            </w:tcMar>
          </w:tcPr>
          <w:p>
            <w:pPr>
              <w:spacing w:after="0"/>
            </w:pPr>
            <w:r>
              <w:rPr>
                <w:sz w:val="17"/>
                <w:szCs w:val="17"/>
              </w:rPr>
              <w:t xml:space="preserve">The declaration of equivalence between electronic and handwritten signature to the authority, where required.</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Backup and restore</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Backups are regular, their integrity is verified, and restoration is PROVEN — not merely described.</w:t>
            </w:r>
          </w:p>
        </w:tc>
        <w:tc>
          <w:tcPr>
            <w:tcW w:type="pct" w:w="34%"/>
            <w:tcMar>
              <w:top w:type="dxa" w:w="80"/>
              <w:left w:type="dxa" w:w="110"/>
              <w:bottom w:type="dxa" w:w="80"/>
              <w:right w:type="dxa" w:w="110"/>
            </w:tcMar>
          </w:tcPr>
          <w:p>
            <w:pPr>
              <w:spacing w:after="0"/>
            </w:pPr>
            <w:r>
              <w:rPr>
                <w:sz w:val="17"/>
                <w:szCs w:val="17"/>
              </w:rPr>
              <w:t xml:space="preserve">The installation guide describes the cold backup of both volumes with its checks, and a backup is taken automatically before any schema migration. The vendor ran the procedure and the restore on a real installation, in a separate environment.</w:t>
            </w:r>
          </w:p>
        </w:tc>
        <w:tc>
          <w:tcPr>
            <w:tcW w:type="pct" w:w="25%"/>
            <w:tcMar>
              <w:top w:type="dxa" w:w="80"/>
              <w:left w:type="dxa" w:w="110"/>
              <w:bottom w:type="dxa" w:w="80"/>
              <w:right w:type="dxa" w:w="110"/>
            </w:tcMar>
          </w:tcPr>
          <w:p>
            <w:pPr>
              <w:spacing w:after="0"/>
            </w:pPr>
            <w:r>
              <w:rPr>
                <w:sz w:val="17"/>
                <w:szCs w:val="17"/>
              </w:rPr>
              <w:t xml:space="preserve">Running the backups at your site, scheduling them, monitoring their outcome, and the proven restore on your infrastructure.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Archiving</w:t>
            </w:r>
          </w:p>
          <w:p>
            <w:pPr>
              <w:spacing w:after="0"/>
            </w:pPr>
            <w:r>
              <w:rPr>
                <w:b/>
                <w:bCs/>
                <w:color w:val="166534"/>
                <w:sz w:val="15"/>
                <w:szCs w:val="15"/>
              </w:rPr>
              <w:t xml:space="preserve">Provided by the software</w:t>
            </w:r>
          </w:p>
        </w:tc>
        <w:tc>
          <w:tcPr>
            <w:tcW w:type="pct" w:w="25%"/>
            <w:tcMar>
              <w:top w:type="dxa" w:w="80"/>
              <w:left w:type="dxa" w:w="110"/>
              <w:bottom w:type="dxa" w:w="80"/>
              <w:right w:type="dxa" w:w="110"/>
            </w:tcMar>
          </w:tcPr>
          <w:p>
            <w:pPr>
              <w:spacing w:after="0"/>
            </w:pPr>
            <w:r>
              <w:rPr>
                <w:sz w:val="17"/>
                <w:szCs w:val="17"/>
              </w:rPr>
              <w:t xml:space="preserve">Records remain readable and verifiable throughout the retention period, including after the system is withdrawn.</w:t>
            </w:r>
          </w:p>
        </w:tc>
        <w:tc>
          <w:tcPr>
            <w:tcW w:type="pct" w:w="34%"/>
            <w:tcMar>
              <w:top w:type="dxa" w:w="80"/>
              <w:left w:type="dxa" w:w="110"/>
              <w:bottom w:type="dxa" w:w="80"/>
              <w:right w:type="dxa" w:w="110"/>
            </w:tcMar>
          </w:tcPr>
          <w:p>
            <w:pPr>
              <w:spacing w:after="0"/>
            </w:pPr>
            <w:r>
              <w:rPr>
                <w:sz w:val="17"/>
                <w:szCs w:val="17"/>
              </w:rPr>
              <w:t xml:space="preserve">The inspection archive returns the exact bytes of the frozen records, with a manifest and digests verifiable using a standard tool, without Filum. A record altered on disk is flagged there rather than presented as intact. The archive anchor can be timestamped by a third-party authority (RFC 3161).</w:t>
            </w:r>
          </w:p>
        </w:tc>
        <w:tc>
          <w:tcPr>
            <w:tcW w:type="pct" w:w="25%"/>
            <w:tcMar>
              <w:top w:type="dxa" w:w="80"/>
              <w:left w:type="dxa" w:w="110"/>
              <w:bottom w:type="dxa" w:w="80"/>
              <w:right w:type="dxa" w:w="110"/>
            </w:tcMar>
          </w:tcPr>
          <w:p>
            <w:pPr>
              <w:spacing w:after="0"/>
            </w:pPr>
            <w:r>
              <w:rPr>
                <w:sz w:val="17"/>
                <w:szCs w:val="17"/>
              </w:rPr>
              <w:t xml:space="preserve">The applicable retention period, its declaration, and the storage of the archive.</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Security</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The draft devotes some twenty subsections to security: patching, penetration testing, firewalls, removable media control.</w:t>
            </w:r>
          </w:p>
        </w:tc>
        <w:tc>
          <w:tcPr>
            <w:tcW w:type="pct" w:w="34%"/>
            <w:tcMar>
              <w:top w:type="dxa" w:w="80"/>
              <w:left w:type="dxa" w:w="110"/>
              <w:bottom w:type="dxa" w:w="80"/>
              <w:right w:type="dxa" w:w="110"/>
            </w:tcMar>
          </w:tcPr>
          <w:p>
            <w:pPr>
              <w:spacing w:after="0"/>
            </w:pPr>
            <w:r>
              <w:rPr>
                <w:sz w:val="17"/>
                <w:szCs w:val="17"/>
              </w:rPr>
              <w:t xml:space="preserve">Application controls: password never stored in clear, lockout after repeated failures, bounded session, cookie marked “secure” behind TLS, HTTP security headers, no data served without a valid session. No penetration test by an independent third party has been conducted — this limit is declared in the validation file.</w:t>
            </w:r>
          </w:p>
        </w:tc>
        <w:tc>
          <w:tcPr>
            <w:tcW w:type="pct" w:w="25%"/>
            <w:tcMar>
              <w:top w:type="dxa" w:w="80"/>
              <w:left w:type="dxa" w:w="110"/>
              <w:bottom w:type="dxa" w:w="80"/>
              <w:right w:type="dxa" w:w="110"/>
            </w:tcMar>
          </w:tcPr>
          <w:p>
            <w:pPr>
              <w:spacing w:after="0"/>
            </w:pPr>
            <w:r>
              <w:rPr>
                <w:sz w:val="17"/>
                <w:szCs w:val="17"/>
              </w:rPr>
              <w:t xml:space="preserve">The infrastructure: TLS termination, firewall, host system patching, restricted access to data volumes, removable media control.</w:t>
            </w:r>
          </w:p>
        </w:tc>
      </w:tr>
      <w:tr>
        <w:tc>
          <w:tcPr>
            <w:tcW w:type="pct" w:w="16%"/>
            <w:shd w:fill="FEF3C7"/>
            <w:tcMar>
              <w:top w:type="dxa" w:w="80"/>
              <w:left w:type="dxa" w:w="110"/>
              <w:bottom w:type="dxa" w:w="80"/>
              <w:right w:type="dxa" w:w="110"/>
            </w:tcMar>
          </w:tcPr>
          <w:p>
            <w:pPr>
              <w:spacing w:after="60"/>
            </w:pPr>
            <w:r>
              <w:rPr>
                <w:b/>
                <w:bCs/>
                <w:color w:val="4338CA"/>
                <w:sz w:val="17"/>
                <w:szCs w:val="17"/>
              </w:rPr>
              <w:t xml:space="preserve">Change and configuration management</w:t>
            </w:r>
          </w:p>
          <w:p>
            <w:pPr>
              <w:spacing w:after="0"/>
            </w:pPr>
            <w:r>
              <w:rPr>
                <w:b/>
                <w:bCs/>
                <w:color w:val="92400E"/>
                <w:sz w:val="15"/>
                <w:szCs w:val="15"/>
              </w:rPr>
              <w:t xml:space="preserve">Partial</w:t>
            </w:r>
          </w:p>
        </w:tc>
        <w:tc>
          <w:tcPr>
            <w:tcW w:type="pct" w:w="25%"/>
            <w:tcMar>
              <w:top w:type="dxa" w:w="80"/>
              <w:left w:type="dxa" w:w="110"/>
              <w:bottom w:type="dxa" w:w="80"/>
              <w:right w:type="dxa" w:w="110"/>
            </w:tcMar>
          </w:tcPr>
          <w:p>
            <w:pPr>
              <w:spacing w:after="0"/>
            </w:pPr>
            <w:r>
              <w:rPr>
                <w:sz w:val="17"/>
                <w:szCs w:val="17"/>
              </w:rPr>
              <w:t xml:space="preserve">Changes are controlled, assessed and traced, and the system configuration is known at all times.</w:t>
            </w:r>
          </w:p>
        </w:tc>
        <w:tc>
          <w:tcPr>
            <w:tcW w:type="pct" w:w="34%"/>
            <w:tcMar>
              <w:top w:type="dxa" w:w="80"/>
              <w:left w:type="dxa" w:w="110"/>
              <w:bottom w:type="dxa" w:w="80"/>
              <w:right w:type="dxa" w:w="110"/>
            </w:tcMar>
          </w:tcPr>
          <w:p>
            <w:pPr>
              <w:spacing w:after="0"/>
            </w:pPr>
            <w:r>
              <w:rPr>
                <w:sz w:val="17"/>
                <w:szCs w:val="17"/>
              </w:rPr>
              <w:t xml:space="preserve">Every delivery carries a version number, an image archive and two published digests; a check refuses to republish a number already handed over. The version announced by the container and the one displayed by the interface come from a single source and are verified at every build.</w:t>
            </w:r>
          </w:p>
        </w:tc>
        <w:tc>
          <w:tcPr>
            <w:tcW w:type="pct" w:w="25%"/>
            <w:tcMar>
              <w:top w:type="dxa" w:w="80"/>
              <w:left w:type="dxa" w:w="110"/>
              <w:bottom w:type="dxa" w:w="80"/>
              <w:right w:type="dxa" w:w="110"/>
            </w:tcMar>
          </w:tcPr>
          <w:p>
            <w:pPr>
              <w:spacing w:after="0"/>
            </w:pPr>
            <w:r>
              <w:rPr>
                <w:sz w:val="17"/>
                <w:szCs w:val="17"/>
              </w:rPr>
              <w:t xml:space="preserve">The impact assessment of each version upgrade within your quality system, and the associated revalidation.</w:t>
            </w:r>
          </w:p>
        </w:tc>
      </w:tr>
      <w:tr>
        <w:tc>
          <w:tcPr>
            <w:tcW w:type="pct" w:w="16%"/>
            <w:shd w:fill="DBEAFE"/>
            <w:tcMar>
              <w:top w:type="dxa" w:w="80"/>
              <w:left w:type="dxa" w:w="110"/>
              <w:bottom w:type="dxa" w:w="80"/>
              <w:right w:type="dxa" w:w="110"/>
            </w:tcMar>
          </w:tcPr>
          <w:p>
            <w:pPr>
              <w:spacing w:after="60"/>
            </w:pPr>
            <w:r>
              <w:rPr>
                <w:b/>
                <w:bCs/>
                <w:color w:val="4338CA"/>
                <w:sz w:val="17"/>
                <w:szCs w:val="17"/>
              </w:rPr>
              <w:t xml:space="preserve">Business continuity</w:t>
            </w:r>
          </w:p>
          <w:p>
            <w:pPr>
              <w:spacing w:after="0"/>
            </w:pPr>
            <w:r>
              <w:rPr>
                <w:b/>
                <w:bCs/>
                <w:color w:val="1E40AF"/>
                <w:sz w:val="15"/>
                <w:szCs w:val="15"/>
              </w:rPr>
              <w:t xml:space="preserve">Your organisation</w:t>
            </w:r>
          </w:p>
        </w:tc>
        <w:tc>
          <w:tcPr>
            <w:tcW w:type="pct" w:w="25%"/>
            <w:tcMar>
              <w:top w:type="dxa" w:w="80"/>
              <w:left w:type="dxa" w:w="110"/>
              <w:bottom w:type="dxa" w:w="80"/>
              <w:right w:type="dxa" w:w="110"/>
            </w:tcMar>
          </w:tcPr>
          <w:p>
            <w:pPr>
              <w:spacing w:after="0"/>
            </w:pPr>
            <w:r>
              <w:rPr>
                <w:sz w:val="17"/>
                <w:szCs w:val="17"/>
              </w:rPr>
              <w:t xml:space="preserve">A system failure must not interrupt critical operations nor cause data loss.</w:t>
            </w:r>
          </w:p>
        </w:tc>
        <w:tc>
          <w:tcPr>
            <w:tcW w:type="pct" w:w="34%"/>
            <w:tcMar>
              <w:top w:type="dxa" w:w="80"/>
              <w:left w:type="dxa" w:w="110"/>
              <w:bottom w:type="dxa" w:w="80"/>
              <w:right w:type="dxa" w:w="110"/>
            </w:tcMar>
          </w:tcPr>
          <w:p>
            <w:pPr>
              <w:spacing w:after="0"/>
            </w:pPr>
            <w:r>
              <w:rPr>
                <w:sz w:val="17"/>
                <w:szCs w:val="17"/>
              </w:rPr>
              <w:t xml:space="preserve">Self-hosted, self-contained installation: no dependency on any online service to operate. Data live in two volumes under your control, and the inspection archive remains readable without the software.</w:t>
            </w:r>
          </w:p>
        </w:tc>
        <w:tc>
          <w:tcPr>
            <w:tcW w:type="pct" w:w="25%"/>
            <w:tcMar>
              <w:top w:type="dxa" w:w="80"/>
              <w:left w:type="dxa" w:w="110"/>
              <w:bottom w:type="dxa" w:w="80"/>
              <w:right w:type="dxa" w:w="110"/>
            </w:tcMar>
          </w:tcPr>
          <w:p>
            <w:pPr>
              <w:spacing w:after="0"/>
            </w:pPr>
            <w:r>
              <w:rPr>
                <w:sz w:val="17"/>
                <w:szCs w:val="17"/>
              </w:rPr>
              <w:t xml:space="preserve">The continuity plan, fallback arrangements, and contingency procedures in case of prolonged unavailability.</w:t>
            </w:r>
          </w:p>
        </w:tc>
      </w:tr>
      <w:tr>
        <w:tc>
          <w:tcPr>
            <w:tcW w:type="pct" w:w="16%"/>
            <w:shd w:fill="F1F5F9"/>
            <w:tcMar>
              <w:top w:type="dxa" w:w="80"/>
              <w:left w:type="dxa" w:w="110"/>
              <w:bottom w:type="dxa" w:w="80"/>
              <w:right w:type="dxa" w:w="110"/>
            </w:tcMar>
          </w:tcPr>
          <w:p>
            <w:pPr>
              <w:spacing w:after="60"/>
            </w:pPr>
            <w:r>
              <w:rPr>
                <w:b/>
                <w:bCs/>
                <w:color w:val="4338CA"/>
                <w:sz w:val="17"/>
                <w:szCs w:val="17"/>
              </w:rPr>
              <w:t xml:space="preserve">System alarms</w:t>
            </w:r>
          </w:p>
          <w:p>
            <w:pPr>
              <w:spacing w:after="0"/>
            </w:pPr>
            <w:r>
              <w:rPr>
                <w:b/>
                <w:bCs/>
                <w:color w:val="475569"/>
                <w:sz w:val="15"/>
                <w:szCs w:val="15"/>
              </w:rPr>
              <w:t xml:space="preserve">Out of scope</w:t>
            </w:r>
          </w:p>
        </w:tc>
        <w:tc>
          <w:tcPr>
            <w:tcW w:type="pct" w:w="25%"/>
            <w:tcMar>
              <w:top w:type="dxa" w:w="80"/>
              <w:left w:type="dxa" w:w="110"/>
              <w:bottom w:type="dxa" w:w="80"/>
              <w:right w:type="dxa" w:w="110"/>
            </w:tcMar>
          </w:tcPr>
          <w:p>
            <w:pPr>
              <w:spacing w:after="0"/>
            </w:pPr>
            <w:r>
              <w:rPr>
                <w:sz w:val="17"/>
                <w:szCs w:val="17"/>
              </w:rPr>
              <w:t xml:space="preserve">Critical alarms are defined, prioritised, acknowledged and traced — a new chapter in the draft.</w:t>
            </w:r>
          </w:p>
        </w:tc>
        <w:tc>
          <w:tcPr>
            <w:tcW w:type="pct" w:w="34%"/>
            <w:tcMar>
              <w:top w:type="dxa" w:w="80"/>
              <w:left w:type="dxa" w:w="110"/>
              <w:bottom w:type="dxa" w:w="80"/>
              <w:right w:type="dxa" w:w="110"/>
            </w:tcMar>
          </w:tcPr>
          <w:p>
            <w:pPr>
              <w:spacing w:after="0"/>
            </w:pPr>
            <w:r>
              <w:rPr>
                <w:sz w:val="17"/>
                <w:szCs w:val="17"/>
              </w:rPr>
              <w:t xml:space="preserve">Not applicable as things stand: Filum drives no equipment and monitors no process parameter. It does, however, report a break in the audit trail chain at start-up and in the verification screen.</w:t>
            </w:r>
          </w:p>
        </w:tc>
        <w:tc>
          <w:tcPr>
            <w:tcW w:type="pct" w:w="25%"/>
            <w:tcMar>
              <w:top w:type="dxa" w:w="80"/>
              <w:left w:type="dxa" w:w="110"/>
              <w:bottom w:type="dxa" w:w="80"/>
              <w:right w:type="dxa" w:w="110"/>
            </w:tcMar>
          </w:tcPr>
          <w:p>
            <w:pPr>
              <w:spacing w:after="0"/>
            </w:pPr>
            <w:r>
              <w:rPr>
                <w:sz w:val="17"/>
                <w:szCs w:val="17"/>
              </w:rPr>
              <w:t xml:space="preserve">—</w:t>
            </w:r>
          </w:p>
        </w:tc>
      </w:tr>
      <w:tr>
        <w:tc>
          <w:tcPr>
            <w:tcW w:type="pct" w:w="16%"/>
            <w:shd w:fill="DCFCE7"/>
            <w:tcMar>
              <w:top w:type="dxa" w:w="80"/>
              <w:left w:type="dxa" w:w="110"/>
              <w:bottom w:type="dxa" w:w="80"/>
              <w:right w:type="dxa" w:w="110"/>
            </w:tcMar>
          </w:tcPr>
          <w:p>
            <w:pPr>
              <w:spacing w:after="60"/>
            </w:pPr>
            <w:r>
              <w:rPr>
                <w:b/>
                <w:bCs/>
                <w:color w:val="4338CA"/>
                <w:sz w:val="17"/>
                <w:szCs w:val="17"/>
              </w:rPr>
              <w:t xml:space="preserve">Interfaces and data exchange</w:t>
            </w:r>
          </w:p>
          <w:p>
            <w:pPr>
              <w:spacing w:after="0"/>
            </w:pPr>
            <w:r>
              <w:rPr>
                <w:b/>
                <w:bCs/>
                <w:color w:val="166534"/>
                <w:sz w:val="15"/>
                <w:szCs w:val="15"/>
              </w:rPr>
              <w:t xml:space="preserve">Provided by the software</w:t>
            </w:r>
          </w:p>
        </w:tc>
        <w:tc>
          <w:tcPr>
            <w:tcW w:type="pct" w:w="25%"/>
            <w:tcMar>
              <w:top w:type="dxa" w:w="80"/>
              <w:left w:type="dxa" w:w="110"/>
              <w:bottom w:type="dxa" w:w="80"/>
              <w:right w:type="dxa" w:w="110"/>
            </w:tcMar>
          </w:tcPr>
          <w:p>
            <w:pPr>
              <w:spacing w:after="0"/>
            </w:pPr>
            <w:r>
              <w:rPr>
                <w:sz w:val="17"/>
                <w:szCs w:val="17"/>
              </w:rPr>
              <w:t xml:space="preserve">Exchanges between systems are verified, and the integrity of transferred data is checked.</w:t>
            </w:r>
          </w:p>
        </w:tc>
        <w:tc>
          <w:tcPr>
            <w:tcW w:type="pct" w:w="34%"/>
            <w:tcMar>
              <w:top w:type="dxa" w:w="80"/>
              <w:left w:type="dxa" w:w="110"/>
              <w:bottom w:type="dxa" w:w="80"/>
              <w:right w:type="dxa" w:w="110"/>
            </w:tcMar>
          </w:tcPr>
          <w:p>
            <w:pPr>
              <w:spacing w:after="0"/>
            </w:pPr>
            <w:r>
              <w:rPr>
                <w:sz w:val="17"/>
                <w:szCs w:val="17"/>
              </w:rPr>
              <w:t xml:space="preserve">Filum exposes no automated write interface: the graph remains the only entry point, and any data migration goes through a preview reviewed before writing, with dual logging.</w:t>
            </w:r>
          </w:p>
        </w:tc>
        <w:tc>
          <w:tcPr>
            <w:tcW w:type="pct" w:w="25%"/>
            <w:tcMar>
              <w:top w:type="dxa" w:w="80"/>
              <w:left w:type="dxa" w:w="110"/>
              <w:bottom w:type="dxa" w:w="80"/>
              <w:right w:type="dxa" w:w="110"/>
            </w:tcMar>
          </w:tcPr>
          <w:p>
            <w:pPr>
              <w:spacing w:after="0"/>
            </w:pPr>
            <w:r>
              <w:rPr>
                <w:sz w:val="17"/>
                <w:szCs w:val="17"/>
              </w:rPr>
              <w:t xml:space="preserve">The verification of any integration you may put in place around Filum.</w:t>
            </w:r>
          </w:p>
        </w:tc>
      </w:tr>
    </w:tbl>
    <w:p>
      <w:pPr>
        <w:pStyle w:val="Heading1"/>
        <w:spacing w:after="140" w:before="320"/>
      </w:pPr>
      <w:r>
        <w:t xml:space="preserve">6. What may be written, and what may not</w:t>
      </w:r>
    </w:p>
    <w:p>
      <w:pPr>
        <w:spacing w:after="140"/>
      </w:pPr>
      <w:r>
        <w:rPr>
          <w:sz w:val="20"/>
          <w:szCs w:val="20"/>
        </w:rPr>
        <w:t xml:space="preserve">If you have to mention Annex 11 in relation to Filum in your file, the following wording is accurate:</w:t>
      </w:r>
    </w:p>
    <w:p>
      <w:pPr>
        <w:spacing w:after="200"/>
        <w:ind w:left="400" w:right="400"/>
      </w:pPr>
      <w:r>
        <w:rPr>
          <w:i/>
          <w:iCs/>
          <w:sz w:val="17"/>
          <w:szCs w:val="17"/>
        </w:rPr>
        <w:t xml:space="preserve">“Annex 11 of the EU GMP does not apply of its own force to this design control tool: the applicable requirement is ISO 13485 §4.1.6, covered by the vendor's validation file. As our organisation also applies GMP, we have established the correspondence between the expectations of the 7 July 2025 Annex 11 draft and the software's controls, on the basis of the correspondence note supplied by the vendor. This correspondence will be reviewed when the definitive text is published.”</w:t>
      </w:r>
    </w:p>
    <w:p>
      <w:pPr>
        <w:spacing w:after="200"/>
      </w:pPr>
      <w:r>
        <w:rPr>
          <w:b/>
          <w:bCs/>
          <w:sz w:val="20"/>
          <w:szCs w:val="20"/>
        </w:rPr>
        <w:t xml:space="preserve">Conversely, “Filum is Annex 11 compliant” would be false twice over: on a text not yet adopted, and on a framework that does not target this product. That statement appears nowhere in Filum's documentation, and must not appear in yours.</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of </w:t>
    </w:r>
    <w:r>
      <w:rPr>
        <w:color w:val="475569"/>
        <w:sz w:val="15"/>
        <w:szCs w:val="15"/>
      </w:rPr>
      <w:fldChar w:fldCharType="begin"/>
      <w:instrText xml:space="preserve">NUMPAGES</w:instrText>
      <w:fldChar w:fldCharType="separate"/>
      <w:fldChar w:fldCharType="end"/>
    </w:r>
    <w:r>
      <w:rPr>
        <w:color w:val="475569"/>
        <w:sz w:val="15"/>
        <w:szCs w:val="15"/>
      </w:rPr>
      <w:t xml:space="preserve">   ·   Established on the 7 July 2025 draft. This is not a declaration of compliance.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Annex 11 correspondence note (2025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2026-10-01T11:27:15.784Z</dcterms:created>
  <dcterms:modified xsi:type="dcterms:W3CDTF">2026-10-01T11:27:15.784Z</dcterms:modified>
</cp:coreProperties>
</file>

<file path=docProps/custom.xml><?xml version="1.0" encoding="utf-8"?>
<Properties xmlns="http://schemas.openxmlformats.org/officeDocument/2006/custom-properties" xmlns:vt="http://schemas.openxmlformats.org/officeDocument/2006/docPropsVTypes"/>
</file>