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Data integrity</w:t>
      </w:r>
    </w:p>
    <w:p>
      <w:pPr>
        <w:spacing w:after="700"/>
        <w:jc w:val="center"/>
      </w:pPr>
      <w:r>
        <w:rPr>
          <w:color w:val="475569"/>
          <w:sz w:val="22"/>
          <w:szCs w:val="22"/>
        </w:rPr>
        <w:t xml:space="preserve">Can a document projected from a graph be a record?</w:t>
      </w:r>
    </w:p>
    <w:p>
      <w:pPr>
        <w:pStyle w:val="Heading1"/>
        <w:spacing w:after="140" w:before="320"/>
      </w:pPr>
      <w:r>
        <w:t xml:space="preserve">1. The objection, as it is actually raised</w:t>
      </w:r>
    </w:p>
    <w:p>
      <w:pPr>
        <w:spacing w:after="120"/>
      </w:pPr>
      <w:r>
        <w:rPr>
          <w:sz w:val="20"/>
          <w:szCs w:val="20"/>
        </w:rPr>
        <w:t xml:space="preserve">Filum does not store documents. It stores a graph — needs, requirements, specifications, protocols, results, evidence, risks — and projects documents from it. That inversion is the whole point of the product: data is entered once, and the design file cannot contradict the data it is made of.</w:t>
      </w:r>
    </w:p>
    <w:p>
      <w:pPr>
        <w:spacing w:after="160"/>
      </w:pPr>
      <w:r>
        <w:rPr>
          <w:sz w:val="20"/>
          <w:szCs w:val="20"/>
        </w:rPr>
        <w:t xml:space="preserve">That inversion raises a legitimate objection, and it is the first one a quality manager puts: if the document is recomputed on every download, what exactly was approved? Does a signature applied in March still attest to anything precise in October?</w:t>
      </w:r>
    </w:p>
    <w:p>
      <w:pPr>
        <w:spacing w:after="160"/>
      </w:pPr>
      <w:r>
        <w:rPr>
          <w:b/>
          <w:bCs/>
          <w:sz w:val="20"/>
          <w:szCs w:val="20"/>
        </w:rPr>
        <w:t xml:space="preserve">The answer fits in one sentence: since version 1.1, the frozen snapshot IS the record, and the live projection is only a working view. The rest of this document explains the mechanism, cites the texts it answers to, states what it does not cover — and gives, in section 7, the protocol that allows you to prove it wrong.</w:t>
      </w:r>
    </w:p>
    <w:p>
      <w:pPr>
        <w:pStyle w:val="Heading1"/>
        <w:spacing w:after="140" w:before="320"/>
      </w:pPr>
      <w:r>
        <w:t xml:space="preserve">2. Two objects, two roles</w:t>
      </w:r>
    </w:p>
    <w:p>
      <w:pPr>
        <w:spacing w:after="120"/>
      </w:pPr>
      <w:r>
        <w:rPr>
          <w:sz w:val="20"/>
          <w:szCs w:val="20"/>
        </w:rPr>
        <w:t xml:space="preserve">The confusion comes from expecting a single object to provide two incompatible services: being queryable and being immutable. Filum separates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0%"/>
            <w:shd w:fill="E0E7FF"/>
            <w:tcMar>
              <w:top w:type="dxa" w:w="80"/>
              <w:left w:type="dxa" w:w="110"/>
              <w:bottom w:type="dxa" w:w="80"/>
              <w:right w:type="dxa" w:w="110"/>
            </w:tcMar>
          </w:tcPr>
          <w:p>
            <w:pPr>
              <w:spacing w:after="0"/>
            </w:pPr>
            <w:r>
              <w:rPr>
                <w:sz w:val="17"/>
                <w:szCs w:val="17"/>
              </w:rPr>
              <w:t xml:space="preserve"/>
            </w:r>
          </w:p>
        </w:tc>
        <w:tc>
          <w:tcPr>
            <w:tcW w:type="pct" w:w="40%"/>
            <w:shd w:fill="E0E7FF"/>
            <w:tcMar>
              <w:top w:type="dxa" w:w="80"/>
              <w:left w:type="dxa" w:w="110"/>
              <w:bottom w:type="dxa" w:w="80"/>
              <w:right w:type="dxa" w:w="110"/>
            </w:tcMar>
          </w:tcPr>
          <w:p>
            <w:pPr>
              <w:spacing w:after="0"/>
            </w:pPr>
            <w:r>
              <w:rPr>
                <w:b/>
                <w:bCs/>
                <w:sz w:val="17"/>
                <w:szCs w:val="17"/>
              </w:rPr>
              <w:t xml:space="preserve">The graph</w:t>
            </w:r>
          </w:p>
        </w:tc>
        <w:tc>
          <w:tcPr>
            <w:tcW w:type="pct" w:w="40%"/>
            <w:shd w:fill="E0E7FF"/>
            <w:tcMar>
              <w:top w:type="dxa" w:w="80"/>
              <w:left w:type="dxa" w:w="110"/>
              <w:bottom w:type="dxa" w:w="80"/>
              <w:right w:type="dxa" w:w="110"/>
            </w:tcMar>
          </w:tcPr>
          <w:p>
            <w:pPr>
              <w:spacing w:after="0"/>
            </w:pPr>
            <w:r>
              <w:rPr>
                <w:b/>
                <w:bCs/>
                <w:sz w:val="17"/>
                <w:szCs w:val="17"/>
              </w:rPr>
              <w:t xml:space="preserve">The frozen record</w:t>
            </w:r>
          </w:p>
        </w:tc>
      </w:tr>
      <w:tr>
        <w:tc>
          <w:tcPr>
            <w:tcW w:type="pct" w:w="20%"/>
            <w:shd w:fill="F1F5F9"/>
            <w:tcMar>
              <w:top w:type="dxa" w:w="80"/>
              <w:left w:type="dxa" w:w="110"/>
              <w:bottom w:type="dxa" w:w="80"/>
              <w:right w:type="dxa" w:w="110"/>
            </w:tcMar>
          </w:tcPr>
          <w:p>
            <w:pPr>
              <w:spacing w:after="0"/>
            </w:pPr>
            <w:r>
              <w:rPr>
                <w:b/>
                <w:bCs/>
                <w:sz w:val="17"/>
                <w:szCs w:val="17"/>
              </w:rPr>
              <w:t xml:space="preserve">Nature</w:t>
            </w:r>
          </w:p>
        </w:tc>
        <w:tc>
          <w:tcPr>
            <w:tcW w:type="pct" w:w="40%"/>
            <w:tcMar>
              <w:top w:type="dxa" w:w="80"/>
              <w:left w:type="dxa" w:w="110"/>
              <w:bottom w:type="dxa" w:w="80"/>
              <w:right w:type="dxa" w:w="110"/>
            </w:tcMar>
          </w:tcPr>
          <w:p>
            <w:pPr>
              <w:spacing w:after="0"/>
            </w:pPr>
            <w:r>
              <w:rPr>
                <w:sz w:val="17"/>
                <w:szCs w:val="17"/>
              </w:rPr>
              <w:t xml:space="preserve">Reference data, living and queryable</w:t>
            </w:r>
          </w:p>
        </w:tc>
        <w:tc>
          <w:tcPr>
            <w:tcW w:type="pct" w:w="40%"/>
            <w:tcMar>
              <w:top w:type="dxa" w:w="80"/>
              <w:left w:type="dxa" w:w="110"/>
              <w:bottom w:type="dxa" w:w="80"/>
              <w:right w:type="dxa" w:w="110"/>
            </w:tcMar>
          </w:tcPr>
          <w:p>
            <w:pPr>
              <w:spacing w:after="0"/>
            </w:pPr>
            <w:r>
              <w:rPr>
                <w:sz w:val="17"/>
                <w:szCs w:val="17"/>
              </w:rPr>
              <w:t xml:space="preserve">.docx file kept byte for byte, immutable</w:t>
            </w:r>
          </w:p>
        </w:tc>
      </w:tr>
      <w:tr>
        <w:tc>
          <w:tcPr>
            <w:tcW w:type="pct" w:w="20%"/>
            <w:shd w:fill="F1F5F9"/>
            <w:tcMar>
              <w:top w:type="dxa" w:w="80"/>
              <w:left w:type="dxa" w:w="110"/>
              <w:bottom w:type="dxa" w:w="80"/>
              <w:right w:type="dxa" w:w="110"/>
            </w:tcMar>
          </w:tcPr>
          <w:p>
            <w:pPr>
              <w:spacing w:after="0"/>
            </w:pPr>
            <w:r>
              <w:rPr>
                <w:b/>
                <w:bCs/>
                <w:sz w:val="17"/>
                <w:szCs w:val="17"/>
              </w:rPr>
              <w:t xml:space="preserve">Role</w:t>
            </w:r>
          </w:p>
        </w:tc>
        <w:tc>
          <w:tcPr>
            <w:tcW w:type="pct" w:w="40%"/>
            <w:tcMar>
              <w:top w:type="dxa" w:w="80"/>
              <w:left w:type="dxa" w:w="110"/>
              <w:bottom w:type="dxa" w:w="80"/>
              <w:right w:type="dxa" w:w="110"/>
            </w:tcMar>
          </w:tcPr>
          <w:p>
            <w:pPr>
              <w:spacing w:after="0"/>
            </w:pPr>
            <w:r>
              <w:rPr>
                <w:sz w:val="17"/>
                <w:szCs w:val="17"/>
              </w:rPr>
              <w:t xml:space="preserve">Impact analysis, traceability matrix, verification coverage, search — everything a PDF makes impossible</w:t>
            </w:r>
          </w:p>
        </w:tc>
        <w:tc>
          <w:tcPr>
            <w:tcW w:type="pct" w:w="40%"/>
            <w:tcMar>
              <w:top w:type="dxa" w:w="80"/>
              <w:left w:type="dxa" w:w="110"/>
              <w:bottom w:type="dxa" w:w="80"/>
              <w:right w:type="dxa" w:w="110"/>
            </w:tcMar>
          </w:tcPr>
          <w:p>
            <w:pPr>
              <w:spacing w:after="0"/>
            </w:pPr>
            <w:r>
              <w:rPr>
                <w:sz w:val="17"/>
                <w:szCs w:val="17"/>
              </w:rPr>
              <w:t xml:space="preserve">Accurate and complete copy of what was approved, the precise object each signature attaches to</w:t>
            </w:r>
          </w:p>
        </w:tc>
      </w:tr>
      <w:tr>
        <w:tc>
          <w:tcPr>
            <w:tcW w:type="pct" w:w="20%"/>
            <w:shd w:fill="F1F5F9"/>
            <w:tcMar>
              <w:top w:type="dxa" w:w="80"/>
              <w:left w:type="dxa" w:w="110"/>
              <w:bottom w:type="dxa" w:w="80"/>
              <w:right w:type="dxa" w:w="110"/>
            </w:tcMar>
          </w:tcPr>
          <w:p>
            <w:pPr>
              <w:spacing w:after="0"/>
            </w:pPr>
            <w:r>
              <w:rPr>
                <w:b/>
                <w:bCs/>
                <w:sz w:val="17"/>
                <w:szCs w:val="17"/>
              </w:rPr>
              <w:t xml:space="preserve">Changes</w:t>
            </w:r>
          </w:p>
        </w:tc>
        <w:tc>
          <w:tcPr>
            <w:tcW w:type="pct" w:w="40%"/>
            <w:tcMar>
              <w:top w:type="dxa" w:w="80"/>
              <w:left w:type="dxa" w:w="110"/>
              <w:bottom w:type="dxa" w:w="80"/>
              <w:right w:type="dxa" w:w="110"/>
            </w:tcMar>
          </w:tcPr>
          <w:p>
            <w:pPr>
              <w:spacing w:after="0"/>
            </w:pPr>
            <w:r>
              <w:rPr>
                <w:sz w:val="17"/>
                <w:szCs w:val="17"/>
              </w:rPr>
              <w:t xml:space="preserve">Yes — that is its purpose</w:t>
            </w:r>
          </w:p>
        </w:tc>
        <w:tc>
          <w:tcPr>
            <w:tcW w:type="pct" w:w="40%"/>
            <w:tcMar>
              <w:top w:type="dxa" w:w="80"/>
              <w:left w:type="dxa" w:w="110"/>
              <w:bottom w:type="dxa" w:w="80"/>
              <w:right w:type="dxa" w:w="110"/>
            </w:tcMar>
          </w:tcPr>
          <w:p>
            <w:pPr>
              <w:spacing w:after="0"/>
            </w:pPr>
            <w:r>
              <w:rPr>
                <w:sz w:val="17"/>
                <w:szCs w:val="17"/>
              </w:rPr>
              <w:t xml:space="preserve">Never. Reopening the content produces a new snapshot; it does not modify the old one</w:t>
            </w:r>
          </w:p>
        </w:tc>
      </w:tr>
    </w:tbl>
    <w:p>
      <w:pPr>
        <w:spacing w:after="160"/>
      </w:pPr>
      <w:r>
        <w:rPr>
          <w:sz w:val="20"/>
          <w:szCs w:val="20"/>
        </w:rPr>
        <w:t xml:space="preserve">Keeping both is not a compromise: it is the only configuration that simultaneously satisfies the two regulatory requirements set out in section 3, which pull in opposite directions.</w:t>
      </w:r>
    </w:p>
    <w:p>
      <w:pPr>
        <w:pStyle w:val="Heading1"/>
        <w:spacing w:after="140" w:before="320"/>
      </w:pPr>
      <w:r>
        <w:t xml:space="preserve">3. What the texts require</w:t>
      </w:r>
    </w:p>
    <w:p>
      <w:pPr>
        <w:spacing w:after="120"/>
      </w:pPr>
      <w:r>
        <w:rPr>
          <w:sz w:val="20"/>
          <w:szCs w:val="20"/>
        </w:rPr>
        <w:t xml:space="preserve">Two doctrines coexist, and they do not ask for the same thing. That is precisely why a system keeping only one of the two forms would be open to criticism, whichever one it picks.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Text</w:t>
            </w:r>
          </w:p>
        </w:tc>
        <w:tc>
          <w:tcPr>
            <w:tcW w:type="pct" w:w="45%"/>
            <w:shd w:fill="E0E7FF"/>
            <w:tcMar>
              <w:top w:type="dxa" w:w="80"/>
              <w:left w:type="dxa" w:w="110"/>
              <w:bottom w:type="dxa" w:w="80"/>
              <w:right w:type="dxa" w:w="110"/>
            </w:tcMar>
          </w:tcPr>
          <w:p>
            <w:pPr>
              <w:spacing w:after="0"/>
            </w:pPr>
            <w:r>
              <w:rPr>
                <w:b/>
                <w:bCs/>
                <w:sz w:val="17"/>
                <w:szCs w:val="17"/>
              </w:rPr>
              <w:t xml:space="preserve">What it requires</w:t>
            </w:r>
          </w:p>
        </w:tc>
        <w:tc>
          <w:tcPr>
            <w:tcW w:type="pct" w:w="33%"/>
            <w:shd w:fill="E0E7FF"/>
            <w:tcMar>
              <w:top w:type="dxa" w:w="80"/>
              <w:left w:type="dxa" w:w="110"/>
              <w:bottom w:type="dxa" w:w="80"/>
              <w:right w:type="dxa" w:w="110"/>
            </w:tcMar>
          </w:tcPr>
          <w:p>
            <w:pPr>
              <w:spacing w:after="0"/>
            </w:pPr>
            <w:r>
              <w:rPr>
                <w:b/>
                <w:bCs/>
                <w:sz w:val="17"/>
                <w:szCs w:val="17"/>
              </w:rPr>
              <w:t xml:space="preserve">What Filum does with it</w:t>
            </w:r>
          </w:p>
        </w:tc>
      </w:tr>
      <w:tr>
        <w:tc>
          <w:tcPr>
            <w:tcW w:type="pct" w:w="22%"/>
            <w:tcMar>
              <w:top w:type="dxa" w:w="80"/>
              <w:left w:type="dxa" w:w="110"/>
              <w:bottom w:type="dxa" w:w="80"/>
              <w:right w:type="dxa" w:w="110"/>
            </w:tcMar>
          </w:tcPr>
          <w:p>
            <w:pPr>
              <w:spacing w:after="0"/>
            </w:pPr>
            <w:r>
              <w:rPr>
                <w:b/>
                <w:bCs/>
                <w:color w:val="4338CA"/>
                <w:sz w:val="17"/>
                <w:szCs w:val="17"/>
              </w:rPr>
              <w:t xml:space="preserve">21 CFR 11.10(b)</w:t>
            </w:r>
          </w:p>
        </w:tc>
        <w:tc>
          <w:tcPr>
            <w:tcW w:type="pct" w:w="45%"/>
            <w:tcMar>
              <w:top w:type="dxa" w:w="80"/>
              <w:left w:type="dxa" w:w="110"/>
              <w:bottom w:type="dxa" w:w="80"/>
              <w:right w:type="dxa" w:w="110"/>
            </w:tcMar>
          </w:tcPr>
          <w:p>
            <w:pPr>
              <w:spacing w:after="0"/>
            </w:pPr>
            <w:r>
              <w:rPr>
                <w:sz w:val="17"/>
                <w:szCs w:val="17"/>
              </w:rPr>
              <w:t xml:space="preserve">The ability to generate “accurate and complete” copies of records in human-readable and electronic form, suitable for inspection and copying by the agency.</w:t>
            </w:r>
          </w:p>
        </w:tc>
        <w:tc>
          <w:tcPr>
            <w:tcW w:type="pct" w:w="33%"/>
            <w:tcMar>
              <w:top w:type="dxa" w:w="80"/>
              <w:left w:type="dxa" w:w="110"/>
              <w:bottom w:type="dxa" w:w="80"/>
              <w:right w:type="dxa" w:w="110"/>
            </w:tcMar>
          </w:tcPr>
          <w:p>
            <w:pPr>
              <w:spacing w:after="0"/>
            </w:pPr>
            <w:r>
              <w:rPr>
                <w:sz w:val="17"/>
                <w:szCs w:val="17"/>
              </w:rPr>
              <w:t xml:space="preserve">The approved bytes are kept and served as they are. The copy is not rebuilt: it is re-read.</w:t>
            </w:r>
          </w:p>
        </w:tc>
      </w:tr>
      <w:tr>
        <w:tc>
          <w:tcPr>
            <w:tcW w:type="pct" w:w="22%"/>
            <w:tcMar>
              <w:top w:type="dxa" w:w="80"/>
              <w:left w:type="dxa" w:w="110"/>
              <w:bottom w:type="dxa" w:w="80"/>
              <w:right w:type="dxa" w:w="110"/>
            </w:tcMar>
          </w:tcPr>
          <w:p>
            <w:pPr>
              <w:spacing w:after="0"/>
            </w:pPr>
            <w:r>
              <w:rPr>
                <w:b/>
                <w:bCs/>
                <w:color w:val="4338CA"/>
                <w:sz w:val="17"/>
                <w:szCs w:val="17"/>
              </w:rPr>
              <w:t xml:space="preserve">21 CFR 11.70</w:t>
            </w:r>
          </w:p>
        </w:tc>
        <w:tc>
          <w:tcPr>
            <w:tcW w:type="pct" w:w="45%"/>
            <w:tcMar>
              <w:top w:type="dxa" w:w="80"/>
              <w:left w:type="dxa" w:w="110"/>
              <w:bottom w:type="dxa" w:w="80"/>
              <w:right w:type="dxa" w:w="110"/>
            </w:tcMar>
          </w:tcPr>
          <w:p>
            <w:pPr>
              <w:spacing w:after="0"/>
            </w:pPr>
            <w:r>
              <w:rPr>
                <w:sz w:val="17"/>
                <w:szCs w:val="17"/>
              </w:rPr>
              <w:t xml:space="preserve">Link signatures to their record so that they cannot be excised, copied or otherwise transferred to falsify a record by ordinary means.</w:t>
            </w:r>
          </w:p>
        </w:tc>
        <w:tc>
          <w:tcPr>
            <w:tcW w:type="pct" w:w="33%"/>
            <w:tcMar>
              <w:top w:type="dxa" w:w="80"/>
              <w:left w:type="dxa" w:w="110"/>
              <w:bottom w:type="dxa" w:w="80"/>
              <w:right w:type="dxa" w:w="110"/>
            </w:tcMar>
          </w:tcPr>
          <w:p>
            <w:pPr>
              <w:spacing w:after="0"/>
            </w:pPr>
            <w:r>
              <w:rPr>
                <w:sz w:val="17"/>
                <w:szCs w:val="17"/>
              </w:rPr>
              <w:t xml:space="preserve">Every signature carries the SHA-256 fingerprint of the content it attests. Transposed onto other content, it becomes visibly inconsistent.</w:t>
            </w:r>
          </w:p>
        </w:tc>
      </w:tr>
      <w:tr>
        <w:tc>
          <w:tcPr>
            <w:tcW w:type="pct" w:w="22%"/>
            <w:tcMar>
              <w:top w:type="dxa" w:w="80"/>
              <w:left w:type="dxa" w:w="110"/>
              <w:bottom w:type="dxa" w:w="80"/>
              <w:right w:type="dxa" w:w="110"/>
            </w:tcMar>
          </w:tcPr>
          <w:p>
            <w:pPr>
              <w:spacing w:after="0"/>
            </w:pPr>
            <w:r>
              <w:rPr>
                <w:b/>
                <w:bCs/>
                <w:color w:val="4338CA"/>
                <w:sz w:val="17"/>
                <w:szCs w:val="17"/>
              </w:rPr>
              <w:t xml:space="preserve">MHRA “GXP” data integrity guidance (2018)</w:t>
            </w:r>
          </w:p>
        </w:tc>
        <w:tc>
          <w:tcPr>
            <w:tcW w:type="pct" w:w="45%"/>
            <w:tcMar>
              <w:top w:type="dxa" w:w="80"/>
              <w:left w:type="dxa" w:w="110"/>
              <w:bottom w:type="dxa" w:w="80"/>
              <w:right w:type="dxa" w:w="110"/>
            </w:tcMar>
          </w:tcPr>
          <w:p>
            <w:pPr>
              <w:spacing w:after="0"/>
            </w:pPr>
            <w:r>
              <w:rPr>
                <w:sz w:val="17"/>
                <w:szCs w:val="17"/>
              </w:rPr>
              <w:t xml:space="preserve">Distinguishes static records (fixed, such as paper or a PDF) from dynamic records, with which the reviewer can interact. It holds that data must be retained in dynamic form where that is critical to its integrity or later verification, and that retaining the static in preference to the dynamic is not acceptable.</w:t>
            </w:r>
          </w:p>
        </w:tc>
        <w:tc>
          <w:tcPr>
            <w:tcW w:type="pct" w:w="33%"/>
            <w:tcMar>
              <w:top w:type="dxa" w:w="80"/>
              <w:left w:type="dxa" w:w="110"/>
              <w:bottom w:type="dxa" w:w="80"/>
              <w:right w:type="dxa" w:w="110"/>
            </w:tcMar>
          </w:tcPr>
          <w:p>
            <w:pPr>
              <w:spacing w:after="0"/>
            </w:pPr>
            <w:r>
              <w:rPr>
                <w:sz w:val="17"/>
                <w:szCs w:val="17"/>
              </w:rPr>
              <w:t xml:space="preserve">The graph stays queryable after release. This is the doctrine that works IN FAVOUR of Filum's model, and against systems that archive nothing but a PDF.</w:t>
            </w:r>
          </w:p>
        </w:tc>
      </w:tr>
      <w:tr>
        <w:tc>
          <w:tcPr>
            <w:tcW w:type="pct" w:w="22%"/>
            <w:tcMar>
              <w:top w:type="dxa" w:w="80"/>
              <w:left w:type="dxa" w:w="110"/>
              <w:bottom w:type="dxa" w:w="80"/>
              <w:right w:type="dxa" w:w="110"/>
            </w:tcMar>
          </w:tcPr>
          <w:p>
            <w:pPr>
              <w:spacing w:after="0"/>
            </w:pPr>
            <w:r>
              <w:rPr>
                <w:b/>
                <w:bCs/>
                <w:color w:val="4338CA"/>
                <w:sz w:val="17"/>
                <w:szCs w:val="17"/>
              </w:rPr>
              <w:t xml:space="preserve">ALCOA+</w:t>
            </w:r>
          </w:p>
        </w:tc>
        <w:tc>
          <w:tcPr>
            <w:tcW w:type="pct" w:w="45%"/>
            <w:tcMar>
              <w:top w:type="dxa" w:w="80"/>
              <w:left w:type="dxa" w:w="110"/>
              <w:bottom w:type="dxa" w:w="80"/>
              <w:right w:type="dxa" w:w="110"/>
            </w:tcMar>
          </w:tcPr>
          <w:p>
            <w:pPr>
              <w:spacing w:after="0"/>
            </w:pPr>
            <w:r>
              <w:rPr>
                <w:sz w:val="17"/>
                <w:szCs w:val="17"/>
              </w:rPr>
              <w:t xml:space="preserve">Attributable, legible, contemporaneous, original, accurate — and complete, consistent, enduring, available.</w:t>
            </w:r>
          </w:p>
        </w:tc>
        <w:tc>
          <w:tcPr>
            <w:tcW w:type="pct" w:w="33%"/>
            <w:tcMar>
              <w:top w:type="dxa" w:w="80"/>
              <w:left w:type="dxa" w:w="110"/>
              <w:bottom w:type="dxa" w:w="80"/>
              <w:right w:type="dxa" w:w="110"/>
            </w:tcMar>
          </w:tcPr>
          <w:p>
            <w:pPr>
              <w:spacing w:after="0"/>
            </w:pPr>
            <w:r>
              <w:rPr>
                <w:sz w:val="17"/>
                <w:szCs w:val="17"/>
              </w:rPr>
              <w:t xml:space="preserve">The snapshot covers “original” and “enduring”; the timestamped, named audit trail covers “attributable” and “contemporaneous”; the graph covers “available”.</w:t>
            </w:r>
          </w:p>
        </w:tc>
      </w:tr>
    </w:tbl>
    <w:p>
      <w:pPr>
        <w:spacing w:after="160"/>
      </w:pPr>
      <w:r>
        <w:rPr>
          <w:i/>
          <w:iCs/>
          <w:color w:val="475569"/>
          <w:sz w:val="17"/>
          <w:szCs w:val="17"/>
        </w:rPr>
        <w:t xml:space="preserve">Annex 11 of the EU GMP goes the same way on printable retrieval and on the audit trail, but it belongs to medicinal products: it is cited here as converging doctrine, not as a requirement applicable to a medical device manufacturer.</w:t>
      </w:r>
    </w:p>
    <w:p>
      <w:pPr>
        <w:pStyle w:val="Heading1"/>
        <w:spacing w:after="140" w:before="320"/>
      </w:pPr>
      <w:r>
        <w:t xml:space="preserve">4. Why keep the bytes rather than promise to recompute them</w:t>
      </w:r>
    </w:p>
    <w:p>
      <w:pPr>
        <w:spacing w:after="120"/>
      </w:pPr>
      <w:r>
        <w:rPr>
          <w:sz w:val="20"/>
          <w:szCs w:val="20"/>
        </w:rPr>
        <w:t xml:space="preserve">A vendor may be tempted to claim its generation is deterministic: “the same content will always produce the same file”. For a .docx, that is false, and it matters that you know why.</w:t>
      </w:r>
    </w:p>
    <w:p>
      <w:pPr>
        <w:spacing w:after="160"/>
      </w:pPr>
      <w:r>
        <w:rPr>
          <w:sz w:val="20"/>
          <w:szCs w:val="20"/>
        </w:rPr>
        <w:t xml:space="preserve">A .docx file is a ZIP archive. Every entry in a ZIP archive carries a creation timestamp. Two successive generations of strictly identical content therefore produce files whose bytes differ, and whose fingerprints differ. Any promise of “identical regeneration” runs into that fact of the format.</w:t>
      </w:r>
    </w:p>
    <w:p>
      <w:pPr>
        <w:spacing w:after="100"/>
      </w:pPr>
      <w:r>
        <w:rPr>
          <w:sz w:val="20"/>
          <w:szCs w:val="20"/>
        </w:rPr>
        <w:t xml:space="preserve">Filum draws two consequences from this, which explain why there are two fingerprints in the product: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6%"/>
            <w:shd w:fill="E0E7FF"/>
            <w:tcMar>
              <w:top w:type="dxa" w:w="80"/>
              <w:left w:type="dxa" w:w="110"/>
              <w:bottom w:type="dxa" w:w="80"/>
              <w:right w:type="dxa" w:w="110"/>
            </w:tcMar>
          </w:tcPr>
          <w:p>
            <w:pPr>
              <w:spacing w:after="0"/>
            </w:pPr>
            <w:r>
              <w:rPr>
                <w:b/>
                <w:bCs/>
                <w:sz w:val="17"/>
                <w:szCs w:val="17"/>
              </w:rPr>
              <w:t xml:space="preserve">CONTENT fingerprint</w:t>
            </w:r>
          </w:p>
        </w:tc>
        <w:tc>
          <w:tcPr>
            <w:tcW w:type="pct" w:w="74%"/>
            <w:tcMar>
              <w:top w:type="dxa" w:w="80"/>
              <w:left w:type="dxa" w:w="110"/>
              <w:bottom w:type="dxa" w:w="80"/>
              <w:right w:type="dxa" w:w="110"/>
            </w:tcMar>
          </w:tcPr>
          <w:p>
            <w:pPr>
              <w:spacing w:after="0"/>
            </w:pPr>
            <w:r>
              <w:rPr>
                <w:sz w:val="17"/>
                <w:szCs w:val="17"/>
              </w:rPr>
              <w:t xml:space="preserve">Computed over the graph values serialised in a fixed order, excluding formatting and the state of the signatures. Deterministic, therefore comparable over time. It is what the signature attests, and what is recomputed at release to detect drift.</w:t>
            </w:r>
          </w:p>
        </w:tc>
      </w:tr>
      <w:tr>
        <w:tc>
          <w:tcPr>
            <w:tcW w:type="pct" w:w="26%"/>
            <w:shd w:fill="E0E7FF"/>
            <w:tcMar>
              <w:top w:type="dxa" w:w="80"/>
              <w:left w:type="dxa" w:w="110"/>
              <w:bottom w:type="dxa" w:w="80"/>
              <w:right w:type="dxa" w:w="110"/>
            </w:tcMar>
          </w:tcPr>
          <w:p>
            <w:pPr>
              <w:spacing w:after="0"/>
            </w:pPr>
            <w:r>
              <w:rPr>
                <w:b/>
                <w:bCs/>
                <w:sz w:val="17"/>
                <w:szCs w:val="17"/>
              </w:rPr>
              <w:t xml:space="preserve">FILE fingerprint</w:t>
            </w:r>
          </w:p>
        </w:tc>
        <w:tc>
          <w:tcPr>
            <w:tcW w:type="pct" w:w="74%"/>
            <w:tcMar>
              <w:top w:type="dxa" w:w="80"/>
              <w:left w:type="dxa" w:w="110"/>
              <w:bottom w:type="dxa" w:w="80"/>
              <w:right w:type="dxa" w:w="110"/>
            </w:tcMar>
          </w:tcPr>
          <w:p>
            <w:pPr>
              <w:spacing w:after="0"/>
            </w:pPr>
            <w:r>
              <w:rPr>
                <w:sz w:val="17"/>
                <w:szCs w:val="17"/>
              </w:rPr>
              <w:t xml:space="preserve">Computed over the bytes written to disk. It does not compare two generations — it detects alteration of the stored file, and causes its download to be refused where appropriate.</w:t>
            </w:r>
          </w:p>
        </w:tc>
      </w:tr>
    </w:tbl>
    <w:p>
      <w:pPr>
        <w:spacing w:after="160"/>
      </w:pPr>
      <w:r>
        <w:rPr>
          <w:b/>
          <w:bCs/>
          <w:sz w:val="20"/>
          <w:szCs w:val="20"/>
        </w:rPr>
        <w:t xml:space="preserve">In other words: the reproducibility of the record does not rest on the software's ability to remake it, but on the fact that it never remakes it.</w:t>
      </w:r>
    </w:p>
    <w:p>
      <w:pPr>
        <w:pStyle w:val="Heading1"/>
        <w:spacing w:after="140" w:before="320"/>
      </w:pPr>
      <w:r>
        <w:t xml:space="preserve">5. The mechanisms, one by one</w:t>
      </w:r>
    </w:p>
    <w:p>
      <w:pPr>
        <w:spacing w:after="120"/>
      </w:pPr>
      <w:r>
        <w:rPr>
          <w:sz w:val="20"/>
          <w:szCs w:val="20"/>
        </w:rPr>
        <w:t xml:space="preserve">Each row states what the mechanism guarantees and how to observe it — during a demonstration or an audit.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22%"/>
            <w:shd w:fill="E0E7FF"/>
            <w:tcMar>
              <w:top w:type="dxa" w:w="80"/>
              <w:left w:type="dxa" w:w="110"/>
              <w:bottom w:type="dxa" w:w="80"/>
              <w:right w:type="dxa" w:w="110"/>
            </w:tcMar>
          </w:tcPr>
          <w:p>
            <w:pPr>
              <w:spacing w:after="0"/>
            </w:pPr>
            <w:r>
              <w:rPr>
                <w:b/>
                <w:bCs/>
                <w:sz w:val="17"/>
                <w:szCs w:val="17"/>
              </w:rPr>
              <w:t xml:space="preserve">Mechanism</w:t>
            </w:r>
          </w:p>
        </w:tc>
        <w:tc>
          <w:tcPr>
            <w:tcW w:type="pct" w:w="45%"/>
            <w:shd w:fill="E0E7FF"/>
            <w:tcMar>
              <w:top w:type="dxa" w:w="80"/>
              <w:left w:type="dxa" w:w="110"/>
              <w:bottom w:type="dxa" w:w="80"/>
              <w:right w:type="dxa" w:w="110"/>
            </w:tcMar>
          </w:tcPr>
          <w:p>
            <w:pPr>
              <w:spacing w:after="0"/>
            </w:pPr>
            <w:r>
              <w:rPr>
                <w:b/>
                <w:bCs/>
                <w:sz w:val="17"/>
                <w:szCs w:val="17"/>
              </w:rPr>
              <w:t xml:space="preserve">What it guarantees</w:t>
            </w:r>
          </w:p>
        </w:tc>
        <w:tc>
          <w:tcPr>
            <w:tcW w:type="pct" w:w="33%"/>
            <w:shd w:fill="E0E7FF"/>
            <w:tcMar>
              <w:top w:type="dxa" w:w="80"/>
              <w:left w:type="dxa" w:w="110"/>
              <w:bottom w:type="dxa" w:w="80"/>
              <w:right w:type="dxa" w:w="110"/>
            </w:tcMar>
          </w:tcPr>
          <w:p>
            <w:pPr>
              <w:spacing w:after="0"/>
            </w:pPr>
            <w:r>
              <w:rPr>
                <w:b/>
                <w:bCs/>
                <w:sz w:val="17"/>
                <w:szCs w:val="17"/>
              </w:rPr>
              <w:t xml:space="preserve">How to observe it</w:t>
            </w:r>
          </w:p>
        </w:tc>
      </w:tr>
      <w:tr>
        <w:tc>
          <w:tcPr>
            <w:tcW w:type="pct" w:w="22%"/>
            <w:tcMar>
              <w:top w:type="dxa" w:w="80"/>
              <w:left w:type="dxa" w:w="110"/>
              <w:bottom w:type="dxa" w:w="80"/>
              <w:right w:type="dxa" w:w="110"/>
            </w:tcMar>
          </w:tcPr>
          <w:p>
            <w:pPr>
              <w:spacing w:after="0"/>
            </w:pPr>
            <w:r>
              <w:rPr>
                <w:b/>
                <w:bCs/>
                <w:color w:val="4338CA"/>
                <w:sz w:val="17"/>
                <w:szCs w:val="17"/>
              </w:rPr>
              <w:t xml:space="preserve">Freezing on entry into review</w:t>
            </w:r>
          </w:p>
        </w:tc>
        <w:tc>
          <w:tcPr>
            <w:tcW w:type="pct" w:w="45%"/>
            <w:tcMar>
              <w:top w:type="dxa" w:w="80"/>
              <w:left w:type="dxa" w:w="110"/>
              <w:bottom w:type="dxa" w:w="80"/>
              <w:right w:type="dxa" w:w="110"/>
            </w:tcMar>
          </w:tcPr>
          <w:p>
            <w:pPr>
              <w:spacing w:after="0"/>
            </w:pPr>
            <w:r>
              <w:rPr>
                <w:sz w:val="17"/>
                <w:szCs w:val="17"/>
              </w:rPr>
              <w:t xml:space="preserve">Content stops being editable the moment it goes out for approval, not at release. Any attempt to modify an attached requirement, specification or protocol is refused server-side, with a message explaining the compliant route.</w:t>
            </w:r>
          </w:p>
        </w:tc>
        <w:tc>
          <w:tcPr>
            <w:tcW w:type="pct" w:w="33%"/>
            <w:tcMar>
              <w:top w:type="dxa" w:w="80"/>
              <w:left w:type="dxa" w:w="110"/>
              <w:bottom w:type="dxa" w:w="80"/>
              <w:right w:type="dxa" w:w="110"/>
            </w:tcMar>
          </w:tcPr>
          <w:p>
            <w:pPr>
              <w:spacing w:after="0"/>
            </w:pPr>
            <w:r>
              <w:rPr>
                <w:sz w:val="17"/>
                <w:szCs w:val="17"/>
              </w:rPr>
              <w:t xml:space="preserve">Submit a document for review, then try to modify one of its requirements: the write is refused and the refusal is logged.</w:t>
            </w:r>
          </w:p>
        </w:tc>
      </w:tr>
      <w:tr>
        <w:tc>
          <w:tcPr>
            <w:tcW w:type="pct" w:w="22%"/>
            <w:tcMar>
              <w:top w:type="dxa" w:w="80"/>
              <w:left w:type="dxa" w:w="110"/>
              <w:bottom w:type="dxa" w:w="80"/>
              <w:right w:type="dxa" w:w="110"/>
            </w:tcMar>
          </w:tcPr>
          <w:p>
            <w:pPr>
              <w:spacing w:after="0"/>
            </w:pPr>
            <w:r>
              <w:rPr>
                <w:b/>
                <w:bCs/>
                <w:color w:val="4338CA"/>
                <w:sz w:val="17"/>
                <w:szCs w:val="17"/>
              </w:rPr>
              <w:t xml:space="preserve">Fingerprint of the projected content</w:t>
            </w:r>
          </w:p>
        </w:tc>
        <w:tc>
          <w:tcPr>
            <w:tcW w:type="pct" w:w="45%"/>
            <w:tcMar>
              <w:top w:type="dxa" w:w="80"/>
              <w:left w:type="dxa" w:w="110"/>
              <w:bottom w:type="dxa" w:w="80"/>
              <w:right w:type="dxa" w:w="110"/>
            </w:tcMar>
          </w:tcPr>
          <w:p>
            <w:pPr>
              <w:spacing w:after="0"/>
            </w:pPr>
            <w:r>
              <w:rPr>
                <w:sz w:val="17"/>
                <w:szCs w:val="17"/>
              </w:rPr>
              <w:t xml:space="preserve">A SHA-256 fingerprint is computed over the graph VALUES serialised in a fixed order — independent of formatting and of the state of the signatures. It is what answers the question “has the content moved?”.</w:t>
            </w:r>
          </w:p>
        </w:tc>
        <w:tc>
          <w:tcPr>
            <w:tcW w:type="pct" w:w="33%"/>
            <w:tcMar>
              <w:top w:type="dxa" w:w="80"/>
              <w:left w:type="dxa" w:w="110"/>
              <w:bottom w:type="dxa" w:w="80"/>
              <w:right w:type="dxa" w:w="110"/>
            </w:tcMar>
          </w:tcPr>
          <w:p>
            <w:pPr>
              <w:spacing w:after="0"/>
            </w:pPr>
            <w:r>
              <w:rPr>
                <w:sz w:val="17"/>
                <w:szCs w:val="17"/>
              </w:rPr>
              <w:t xml:space="preserve">The fingerprint is shown in full on the document's record page, printed inside the document itself, and carried in the audit trail.</w:t>
            </w:r>
          </w:p>
        </w:tc>
      </w:tr>
      <w:tr>
        <w:tc>
          <w:tcPr>
            <w:tcW w:type="pct" w:w="22%"/>
            <w:tcMar>
              <w:top w:type="dxa" w:w="80"/>
              <w:left w:type="dxa" w:w="110"/>
              <w:bottom w:type="dxa" w:w="80"/>
              <w:right w:type="dxa" w:w="110"/>
            </w:tcMar>
          </w:tcPr>
          <w:p>
            <w:pPr>
              <w:spacing w:after="0"/>
            </w:pPr>
            <w:r>
              <w:rPr>
                <w:b/>
                <w:bCs/>
                <w:color w:val="4338CA"/>
                <w:sz w:val="17"/>
                <w:szCs w:val="17"/>
              </w:rPr>
              <w:t xml:space="preserve">Byte retention</w:t>
            </w:r>
          </w:p>
        </w:tc>
        <w:tc>
          <w:tcPr>
            <w:tcW w:type="pct" w:w="45%"/>
            <w:tcMar>
              <w:top w:type="dxa" w:w="80"/>
              <w:left w:type="dxa" w:w="110"/>
              <w:bottom w:type="dxa" w:w="80"/>
              <w:right w:type="dxa" w:w="110"/>
            </w:tcMar>
          </w:tcPr>
          <w:p>
            <w:pPr>
              <w:spacing w:after="0"/>
            </w:pPr>
            <w:r>
              <w:rPr>
                <w:sz w:val="17"/>
                <w:szCs w:val="17"/>
              </w:rPr>
              <w:t xml:space="preserve">The .docx file produced at the freeze is kept as is, outside the database, with its own fingerprint. Downloading serves those bytes; it never regenerates the document.</w:t>
            </w:r>
          </w:p>
        </w:tc>
        <w:tc>
          <w:tcPr>
            <w:tcW w:type="pct" w:w="33%"/>
            <w:tcMar>
              <w:top w:type="dxa" w:w="80"/>
              <w:left w:type="dxa" w:w="110"/>
              <w:bottom w:type="dxa" w:w="80"/>
              <w:right w:type="dxa" w:w="110"/>
            </w:tcMar>
          </w:tcPr>
          <w:p>
            <w:pPr>
              <w:spacing w:after="0"/>
            </w:pPr>
            <w:r>
              <w:rPr>
                <w:sz w:val="17"/>
                <w:szCs w:val="17"/>
              </w:rPr>
              <w:t xml:space="preserve">Download the record twice a day apart and compare the two files' fingerprints: they are identical.</w:t>
            </w:r>
          </w:p>
        </w:tc>
      </w:tr>
      <w:tr>
        <w:tc>
          <w:tcPr>
            <w:tcW w:type="pct" w:w="22%"/>
            <w:tcMar>
              <w:top w:type="dxa" w:w="80"/>
              <w:left w:type="dxa" w:w="110"/>
              <w:bottom w:type="dxa" w:w="80"/>
              <w:right w:type="dxa" w:w="110"/>
            </w:tcMar>
          </w:tcPr>
          <w:p>
            <w:pPr>
              <w:spacing w:after="0"/>
            </w:pPr>
            <w:r>
              <w:rPr>
                <w:b/>
                <w:bCs/>
                <w:color w:val="4338CA"/>
                <w:sz w:val="17"/>
                <w:szCs w:val="17"/>
              </w:rPr>
              <w:t xml:space="preserve">Tamper detection</w:t>
            </w:r>
          </w:p>
        </w:tc>
        <w:tc>
          <w:tcPr>
            <w:tcW w:type="pct" w:w="45%"/>
            <w:tcMar>
              <w:top w:type="dxa" w:w="80"/>
              <w:left w:type="dxa" w:w="110"/>
              <w:bottom w:type="dxa" w:w="80"/>
              <w:right w:type="dxa" w:w="110"/>
            </w:tcMar>
          </w:tcPr>
          <w:p>
            <w:pPr>
              <w:spacing w:after="0"/>
            </w:pPr>
            <w:r>
              <w:rPr>
                <w:sz w:val="17"/>
                <w:szCs w:val="17"/>
              </w:rPr>
              <w:t xml:space="preserve">The file's fingerprint is re-checked on every download. A file altered on disk is REFUSED, with an explicit error and an entry in the audit trail — it is never silently replaced by a regeneration.</w:t>
            </w:r>
          </w:p>
        </w:tc>
        <w:tc>
          <w:tcPr>
            <w:tcW w:type="pct" w:w="33%"/>
            <w:tcMar>
              <w:top w:type="dxa" w:w="80"/>
              <w:left w:type="dxa" w:w="110"/>
              <w:bottom w:type="dxa" w:w="80"/>
              <w:right w:type="dxa" w:w="110"/>
            </w:tcMar>
          </w:tcPr>
          <w:p>
            <w:pPr>
              <w:spacing w:after="0"/>
            </w:pPr>
            <w:r>
              <w:rPr>
                <w:sz w:val="17"/>
                <w:szCs w:val="17"/>
              </w:rPr>
              <w:t xml:space="preserve">From the server console, change one byte of the stored file, then attempt the download: refusal, explicit message, audit entry.</w:t>
            </w:r>
          </w:p>
        </w:tc>
      </w:tr>
      <w:tr>
        <w:tc>
          <w:tcPr>
            <w:tcW w:type="pct" w:w="22%"/>
            <w:tcMar>
              <w:top w:type="dxa" w:w="80"/>
              <w:left w:type="dxa" w:w="110"/>
              <w:bottom w:type="dxa" w:w="80"/>
              <w:right w:type="dxa" w:w="110"/>
            </w:tcMar>
          </w:tcPr>
          <w:p>
            <w:pPr>
              <w:spacing w:after="0"/>
            </w:pPr>
            <w:r>
              <w:rPr>
                <w:b/>
                <w:bCs/>
                <w:color w:val="4338CA"/>
                <w:sz w:val="17"/>
                <w:szCs w:val="17"/>
              </w:rPr>
              <w:t xml:space="preserve">Signature ↔ record link</w:t>
            </w:r>
          </w:p>
        </w:tc>
        <w:tc>
          <w:tcPr>
            <w:tcW w:type="pct" w:w="45%"/>
            <w:tcMar>
              <w:top w:type="dxa" w:w="80"/>
              <w:left w:type="dxa" w:w="110"/>
              <w:bottom w:type="dxa" w:w="80"/>
              <w:right w:type="dxa" w:w="110"/>
            </w:tcMar>
          </w:tcPr>
          <w:p>
            <w:pPr>
              <w:spacing w:after="0"/>
            </w:pPr>
            <w:r>
              <w:rPr>
                <w:sz w:val="17"/>
                <w:szCs w:val="17"/>
              </w:rPr>
              <w:t xml:space="preserve">Every signature copies the fingerprint of the content it attests — into the signature record itself, not merely by reference. The human-readable manifestation (21 CFR 11.50) carries it, and the printed document shows, for each signer, the content attested.</w:t>
            </w:r>
          </w:p>
        </w:tc>
        <w:tc>
          <w:tcPr>
            <w:tcW w:type="pct" w:w="33%"/>
            <w:tcMar>
              <w:top w:type="dxa" w:w="80"/>
              <w:left w:type="dxa" w:w="110"/>
              <w:bottom w:type="dxa" w:w="80"/>
              <w:right w:type="dxa" w:w="110"/>
            </w:tcMar>
          </w:tcPr>
          <w:p>
            <w:pPr>
              <w:spacing w:after="0"/>
            </w:pPr>
            <w:r>
              <w:rPr>
                <w:sz w:val="17"/>
                <w:szCs w:val="17"/>
              </w:rPr>
              <w:t xml:space="preserve">Compare the fingerprint shown beside a signature with the record's own: a discrepancy is displayed in red on screen.</w:t>
            </w:r>
          </w:p>
        </w:tc>
      </w:tr>
      <w:tr>
        <w:tc>
          <w:tcPr>
            <w:tcW w:type="pct" w:w="22%"/>
            <w:tcMar>
              <w:top w:type="dxa" w:w="80"/>
              <w:left w:type="dxa" w:w="110"/>
              <w:bottom w:type="dxa" w:w="80"/>
              <w:right w:type="dxa" w:w="110"/>
            </w:tcMar>
          </w:tcPr>
          <w:p>
            <w:pPr>
              <w:spacing w:after="0"/>
            </w:pPr>
            <w:r>
              <w:rPr>
                <w:b/>
                <w:bCs/>
                <w:color w:val="4338CA"/>
                <w:sz w:val="17"/>
                <w:szCs w:val="17"/>
              </w:rPr>
              <w:t xml:space="preserve">Release refused when content has drifted</w:t>
            </w:r>
          </w:p>
        </w:tc>
        <w:tc>
          <w:tcPr>
            <w:tcW w:type="pct" w:w="45%"/>
            <w:tcMar>
              <w:top w:type="dxa" w:w="80"/>
              <w:left w:type="dxa" w:w="110"/>
              <w:bottom w:type="dxa" w:w="80"/>
              <w:right w:type="dxa" w:w="110"/>
            </w:tcMar>
          </w:tcPr>
          <w:p>
            <w:pPr>
              <w:spacing w:after="0"/>
            </w:pPr>
            <w:r>
              <w:rPr>
                <w:sz w:val="17"/>
                <w:szCs w:val="17"/>
              </w:rPr>
              <w:t xml:space="preserve">At release, the content fingerprint is RECOMPUTED and compared with that of the freeze. If it differs — including as a result of a write made outside the application, directly in the database — release is refused and both fingerprints are written to the audit trail.</w:t>
            </w:r>
          </w:p>
        </w:tc>
        <w:tc>
          <w:tcPr>
            <w:tcW w:type="pct" w:w="33%"/>
            <w:tcMar>
              <w:top w:type="dxa" w:w="80"/>
              <w:left w:type="dxa" w:w="110"/>
              <w:bottom w:type="dxa" w:w="80"/>
              <w:right w:type="dxa" w:w="110"/>
            </w:tcMar>
          </w:tcPr>
          <w:p>
            <w:pPr>
              <w:spacing w:after="0"/>
            </w:pPr>
            <w:r>
              <w:rPr>
                <w:sz w:val="17"/>
                <w:szCs w:val="17"/>
              </w:rPr>
              <w:t xml:space="preserve">Modify the content directly in the database during review, then attempt to release: refusal, the document stays in review, the discrepancy is logged.</w:t>
            </w:r>
          </w:p>
        </w:tc>
      </w:tr>
      <w:tr>
        <w:tc>
          <w:tcPr>
            <w:tcW w:type="pct" w:w="22%"/>
            <w:tcMar>
              <w:top w:type="dxa" w:w="80"/>
              <w:left w:type="dxa" w:w="110"/>
              <w:bottom w:type="dxa" w:w="80"/>
              <w:right w:type="dxa" w:w="110"/>
            </w:tcMar>
          </w:tcPr>
          <w:p>
            <w:pPr>
              <w:spacing w:after="0"/>
            </w:pPr>
            <w:r>
              <w:rPr>
                <w:b/>
                <w:bCs/>
                <w:color w:val="4338CA"/>
                <w:sz w:val="17"/>
                <w:szCs w:val="17"/>
              </w:rPr>
              <w:t xml:space="preserve">Append-only history</w:t>
            </w:r>
          </w:p>
        </w:tc>
        <w:tc>
          <w:tcPr>
            <w:tcW w:type="pct" w:w="45%"/>
            <w:tcMar>
              <w:top w:type="dxa" w:w="80"/>
              <w:left w:type="dxa" w:w="110"/>
              <w:bottom w:type="dxa" w:w="80"/>
              <w:right w:type="dxa" w:w="110"/>
            </w:tcMar>
          </w:tcPr>
          <w:p>
            <w:pPr>
              <w:spacing w:after="0"/>
            </w:pPr>
            <w:r>
              <w:rPr>
                <w:sz w:val="17"/>
                <w:szCs w:val="17"/>
              </w:rPr>
              <w:t xml:space="preserve">A return to draft or a new revision marks the freeze as superseded without ever destroying it. A revision's approved record stays downloadable after the next one is opened.</w:t>
            </w:r>
          </w:p>
        </w:tc>
        <w:tc>
          <w:tcPr>
            <w:tcW w:type="pct" w:w="33%"/>
            <w:tcMar>
              <w:top w:type="dxa" w:w="80"/>
              <w:left w:type="dxa" w:w="110"/>
              <w:bottom w:type="dxa" w:w="80"/>
              <w:right w:type="dxa" w:w="110"/>
            </w:tcMar>
          </w:tcPr>
          <w:p>
            <w:pPr>
              <w:spacing w:after="0"/>
            </w:pPr>
            <w:r>
              <w:rPr>
                <w:sz w:val="17"/>
                <w:szCs w:val="17"/>
              </w:rPr>
              <w:t xml:space="preserve">Open revision 002, then find and download revision 001's approved record from the document's record page.</w:t>
            </w:r>
          </w:p>
        </w:tc>
      </w:tr>
      <w:tr>
        <w:tc>
          <w:tcPr>
            <w:tcW w:type="pct" w:w="22%"/>
            <w:tcMar>
              <w:top w:type="dxa" w:w="80"/>
              <w:left w:type="dxa" w:w="110"/>
              <w:bottom w:type="dxa" w:w="80"/>
              <w:right w:type="dxa" w:w="110"/>
            </w:tcMar>
          </w:tcPr>
          <w:p>
            <w:pPr>
              <w:spacing w:after="0"/>
            </w:pPr>
            <w:r>
              <w:rPr>
                <w:b/>
                <w:bCs/>
                <w:color w:val="4338CA"/>
                <w:sz w:val="17"/>
                <w:szCs w:val="17"/>
              </w:rPr>
              <w:t xml:space="preserve">Audit-trail chaining</w:t>
            </w:r>
          </w:p>
        </w:tc>
        <w:tc>
          <w:tcPr>
            <w:tcW w:type="pct" w:w="45%"/>
            <w:tcMar>
              <w:top w:type="dxa" w:w="80"/>
              <w:left w:type="dxa" w:w="110"/>
              <w:bottom w:type="dxa" w:w="80"/>
              <w:right w:type="dxa" w:w="110"/>
            </w:tcMar>
          </w:tcPr>
          <w:p>
            <w:pPr>
              <w:spacing w:after="0"/>
            </w:pPr>
            <w:r>
              <w:rPr>
                <w:sz w:val="17"/>
                <w:szCs w:val="17"/>
              </w:rPr>
              <w:t xml:space="preserve">Every entry carries the fingerprint of the previous one. Modifying or deleting an entry directly in the database file breaks the link for all the following ones: the audit screen verifies the chain on every view and names the rank where it breaks. Every write passes through a single chokepoint, including the two privileged server-console tools, whose mirror implementation is proven equivalent by qualification.</w:t>
            </w:r>
          </w:p>
        </w:tc>
        <w:tc>
          <w:tcPr>
            <w:tcW w:type="pct" w:w="33%"/>
            <w:tcMar>
              <w:top w:type="dxa" w:w="80"/>
              <w:left w:type="dxa" w:w="110"/>
              <w:bottom w:type="dxa" w:w="80"/>
              <w:right w:type="dxa" w:w="110"/>
            </w:tcMar>
          </w:tcPr>
          <w:p>
            <w:pPr>
              <w:spacing w:after="0"/>
            </w:pPr>
            <w:r>
              <w:rPr>
                <w:sz w:val="17"/>
                <w:szCs w:val="17"/>
              </w:rPr>
              <w:t xml:space="preserve">From the server console, change an entry's reason directly in the database, then open the audit trail: a red banner names the rank of the break. Restore the original value: the chain is intact again.</w:t>
            </w:r>
          </w:p>
        </w:tc>
      </w:tr>
      <w:tr>
        <w:tc>
          <w:tcPr>
            <w:tcW w:type="pct" w:w="22%"/>
            <w:tcMar>
              <w:top w:type="dxa" w:w="80"/>
              <w:left w:type="dxa" w:w="110"/>
              <w:bottom w:type="dxa" w:w="80"/>
              <w:right w:type="dxa" w:w="110"/>
            </w:tcMar>
          </w:tcPr>
          <w:p>
            <w:pPr>
              <w:spacing w:after="0"/>
            </w:pPr>
            <w:r>
              <w:rPr>
                <w:b/>
                <w:bCs/>
                <w:color w:val="4338CA"/>
                <w:sz w:val="17"/>
                <w:szCs w:val="17"/>
              </w:rPr>
              <w:t xml:space="preserve">Signatures stay attributable over time</w:t>
            </w:r>
          </w:p>
        </w:tc>
        <w:tc>
          <w:tcPr>
            <w:tcW w:type="pct" w:w="45%"/>
            <w:tcMar>
              <w:top w:type="dxa" w:w="80"/>
              <w:left w:type="dxa" w:w="110"/>
              <w:bottom w:type="dxa" w:w="80"/>
              <w:right w:type="dxa" w:w="110"/>
            </w:tcMar>
          </w:tcPr>
          <w:p>
            <w:pPr>
              <w:spacing w:after="0"/>
            </w:pPr>
            <w:r>
              <w:rPr>
                <w:sz w:val="17"/>
                <w:szCs w:val="17"/>
              </w:rPr>
              <w:t xml:space="preserve">The date of the last password change is recorded on every write, and every account's password age is visible on the users screen. The administrator account created when an installation is bootstrapped — whose password comes from the compose file, and is therefore not a secret — must renew it at first sign-in. If your organisation declares a validity period, exceeding it likewise requires renewal, and nothing is reachable until it has happened, not even a download route.</w:t>
            </w:r>
          </w:p>
        </w:tc>
        <w:tc>
          <w:tcPr>
            <w:tcW w:type="pct" w:w="33%"/>
            <w:tcMar>
              <w:top w:type="dxa" w:w="80"/>
              <w:left w:type="dxa" w:w="110"/>
              <w:bottom w:type="dxa" w:w="80"/>
              <w:right w:type="dxa" w:w="110"/>
            </w:tcMar>
          </w:tcPr>
          <w:p>
            <w:pPr>
              <w:spacing w:after="0"/>
            </w:pPr>
            <w:r>
              <w:rPr>
                <w:sz w:val="17"/>
                <w:szCs w:val="17"/>
              </w:rPr>
              <w:t xml:space="preserve">Declare a very short expiry period in the settings, then sign in again with an account whose password is older: the renewal screen takes over and no other page is reachable, not even a download route pasted into the address bar. The users screen then shows “0 d” for that account.</w:t>
            </w:r>
          </w:p>
        </w:tc>
      </w:tr>
      <w:tr>
        <w:tc>
          <w:tcPr>
            <w:tcW w:type="pct" w:w="22%"/>
            <w:tcMar>
              <w:top w:type="dxa" w:w="80"/>
              <w:left w:type="dxa" w:w="110"/>
              <w:bottom w:type="dxa" w:w="80"/>
              <w:right w:type="dxa" w:w="110"/>
            </w:tcMar>
          </w:tcPr>
          <w:p>
            <w:pPr>
              <w:spacing w:after="0"/>
            </w:pPr>
            <w:r>
              <w:rPr>
                <w:b/>
                <w:bCs/>
                <w:color w:val="4338CA"/>
                <w:sz w:val="17"/>
                <w:szCs w:val="17"/>
              </w:rPr>
              <w:t xml:space="preserve">Nobody can set someone else's password</w:t>
            </w:r>
          </w:p>
        </w:tc>
        <w:tc>
          <w:tcPr>
            <w:tcW w:type="pct" w:w="45%"/>
            <w:tcMar>
              <w:top w:type="dxa" w:w="80"/>
              <w:left w:type="dxa" w:w="110"/>
              <w:bottom w:type="dxa" w:w="80"/>
              <w:right w:type="dxa" w:w="110"/>
            </w:tcMar>
          </w:tcPr>
          <w:p>
            <w:pPr>
              <w:spacing w:after="0"/>
            </w:pPr>
            <w:r>
              <w:rPr>
                <w:sz w:val="17"/>
                <w:szCs w:val="17"/>
              </w:rPr>
              <w:t xml:space="preserve">No function of the software allows anyone to choose somebody else's password: the only field where a password is typed is the one where you type your own. An administrator issues a single-use token, valid 24 h, stored hashed and displayed once only; its holder redeems it from the sign-in screen and chooses their own secret. A token already redeemed, expired, revoked by a re-issue, or issued for another account is refused. Issuing a token revokes the open sessions of the account concerned.</w:t>
            </w:r>
          </w:p>
        </w:tc>
        <w:tc>
          <w:tcPr>
            <w:tcW w:type="pct" w:w="33%"/>
            <w:tcMar>
              <w:top w:type="dxa" w:w="80"/>
              <w:left w:type="dxa" w:w="110"/>
              <w:bottom w:type="dxa" w:w="80"/>
              <w:right w:type="dxa" w:w="110"/>
            </w:tcMar>
          </w:tcPr>
          <w:p>
            <w:pPr>
              <w:spacing w:after="0"/>
            </w:pPr>
            <w:r>
              <w:rPr>
                <w:sz w:val="17"/>
                <w:szCs w:val="17"/>
              </w:rPr>
              <w:t xml:space="preserve">On the users screen, issue a token for an account: the password is never asked for. Redeem it from the sign-in screen, link “I have a reset token”, then try to redeem it a second time: refused. The audit trail carries both the issuance and the redemption, with their respective authors.</w:t>
            </w:r>
          </w:p>
        </w:tc>
      </w:tr>
      <w:tr>
        <w:tc>
          <w:tcPr>
            <w:tcW w:type="pct" w:w="22%"/>
            <w:tcMar>
              <w:top w:type="dxa" w:w="80"/>
              <w:left w:type="dxa" w:w="110"/>
              <w:bottom w:type="dxa" w:w="80"/>
              <w:right w:type="dxa" w:w="110"/>
            </w:tcMar>
          </w:tcPr>
          <w:p>
            <w:pPr>
              <w:spacing w:after="0"/>
            </w:pPr>
            <w:r>
              <w:rPr>
                <w:b/>
                <w:bCs/>
                <w:color w:val="4338CA"/>
                <w:sz w:val="17"/>
                <w:szCs w:val="17"/>
              </w:rPr>
              <w:t xml:space="preserve">The working view says what it is</w:t>
            </w:r>
          </w:p>
        </w:tc>
        <w:tc>
          <w:tcPr>
            <w:tcW w:type="pct" w:w="45%"/>
            <w:tcMar>
              <w:top w:type="dxa" w:w="80"/>
              <w:left w:type="dxa" w:w="110"/>
              <w:bottom w:type="dxa" w:w="80"/>
              <w:right w:type="dxa" w:w="110"/>
            </w:tcMar>
          </w:tcPr>
          <w:p>
            <w:pPr>
              <w:spacing w:after="0"/>
            </w:pPr>
            <w:r>
              <w:rPr>
                <w:sz w:val="17"/>
                <w:szCs w:val="17"/>
              </w:rPr>
              <w:t xml:space="preserve">The live projection stays available — that is the point of a graph. The file it produces carries, on its first page, “WORKING VIEW — this file is not the approved record”, and its filename says so too. A recipient who gets it by email cannot mistake it.</w:t>
            </w:r>
          </w:p>
        </w:tc>
        <w:tc>
          <w:tcPr>
            <w:tcW w:type="pct" w:w="33%"/>
            <w:tcMar>
              <w:top w:type="dxa" w:w="80"/>
              <w:left w:type="dxa" w:w="110"/>
              <w:bottom w:type="dxa" w:w="80"/>
              <w:right w:type="dxa" w:w="110"/>
            </w:tcMar>
          </w:tcPr>
          <w:p>
            <w:pPr>
              <w:spacing w:after="0"/>
            </w:pPr>
            <w:r>
              <w:rPr>
                <w:sz w:val="17"/>
                <w:szCs w:val="17"/>
              </w:rPr>
              <w:t xml:space="preserve">Download the live projection of a released document: the banner sits under the title page, and the filename carries the “working-view” suffix.</w:t>
            </w:r>
          </w:p>
        </w:tc>
      </w:tr>
    </w:tbl>
    <w:p>
      <w:pPr>
        <w:pStyle w:val="Heading1"/>
        <w:spacing w:after="140" w:before="320"/>
      </w:pPr>
      <w:r>
        <w:t xml:space="preserve">6. What remains your organisation's responsibility</w:t>
      </w:r>
    </w:p>
    <w:p>
      <w:pPr>
        <w:spacing w:after="60"/>
      </w:pPr>
      <w:r>
        <w:rPr>
          <w:b/>
          <w:bCs/>
          <w:sz w:val="20"/>
          <w:szCs w:val="20"/>
        </w:rPr>
        <w:t xml:space="preserve">Back up the file volume, not just the database</w:t>
      </w:r>
    </w:p>
    <w:p>
      <w:pPr>
        <w:spacing w:after="140"/>
      </w:pPr>
      <w:r>
        <w:rPr>
          <w:sz w:val="20"/>
          <w:szCs w:val="20"/>
        </w:rPr>
        <w:t xml:space="preserve">Frozen records live in the file volume, beside the raw test data. A backup taking only the database would restore fingerprints without the documents they describe. The installation guide mandates backing up both volumes together and provides a check that fails loudly if the archive is empty.</w:t>
      </w:r>
    </w:p>
    <w:p>
      <w:pPr>
        <w:spacing w:after="60"/>
      </w:pPr>
      <w:r>
        <w:rPr>
          <w:b/>
          <w:bCs/>
          <w:sz w:val="20"/>
          <w:szCs w:val="20"/>
        </w:rPr>
        <w:t xml:space="preserve">Restrict direct access to the database and the file volume</w:t>
      </w:r>
    </w:p>
    <w:p>
      <w:pPr>
        <w:spacing w:after="140"/>
      </w:pPr>
      <w:r>
        <w:rPr>
          <w:sz w:val="20"/>
          <w:szCs w:val="20"/>
        </w:rPr>
        <w:t xml:space="preserve">The controls described above apply to writes made BY the application. A system administrator with direct access to the database file can write outside them; drift detection and tamper detection reveal it after the fact, they do not prevent it. Restricting that access belongs to your infrastructure.</w:t>
      </w:r>
    </w:p>
    <w:p>
      <w:pPr>
        <w:spacing w:after="60"/>
      </w:pPr>
      <w:r>
        <w:rPr>
          <w:b/>
          <w:bCs/>
          <w:sz w:val="20"/>
          <w:szCs w:val="20"/>
        </w:rPr>
        <w:t xml:space="preserve">Declare your retention period, and archive at the moments that matter</w:t>
      </w:r>
    </w:p>
    <w:p>
      <w:pPr>
        <w:spacing w:after="140"/>
      </w:pPr>
      <w:r>
        <w:rPr>
          <w:sz w:val="20"/>
          <w:szCs w:val="20"/>
        </w:rPr>
        <w:t xml:space="preserve">Filum never deletes a frozen record and applies no purge at expiry. The period is declared in the settings — with what grounds it and your procedure reference — and carried as a due date onto every archived record. Producing an inspection archive at every management review, before every major upgrade and at decommissioning, then recording the fingerprint of its fingerprint list outside the system, belongs to your procedure. The “retention and archiving” position note details the mechanism and gives a verification protocol.</w:t>
      </w:r>
    </w:p>
    <w:p>
      <w:pPr>
        <w:spacing w:after="60"/>
      </w:pPr>
      <w:r>
        <w:rPr>
          <w:b/>
          <w:bCs/>
          <w:sz w:val="20"/>
          <w:szCs w:val="20"/>
        </w:rPr>
        <w:t xml:space="preserve">Decide whether to enforce password expiry</w:t>
      </w:r>
    </w:p>
    <w:p>
      <w:pPr>
        <w:spacing w:after="140"/>
      </w:pPr>
      <w:r>
        <w:rPr>
          <w:sz w:val="20"/>
          <w:szCs w:val="20"/>
        </w:rPr>
        <w:t xml:space="preserve">21 CFR 11.300(b) requires identification codes to be periodically checked, recalled OR revised, without imposing any period. NIST SP 800-63B, for its part, now advises against arbitrary periodic expiry. Filum does not decide for you: it always records the age and makes it visible — which is enough for the periodic check — and enforces expiry only if you declare one. Not expiring is a legitimate choice; writing it in the settings, with its basis, turns it into a quality decision rather than an oversight.</w:t>
      </w:r>
    </w:p>
    <w:p>
      <w:pPr>
        <w:spacing w:after="60"/>
      </w:pPr>
      <w:r>
        <w:rPr>
          <w:b/>
          <w:bCs/>
          <w:sz w:val="20"/>
          <w:szCs w:val="20"/>
        </w:rPr>
        <w:t xml:space="preserve">Prescribe the channel for handing over a reset token</w:t>
      </w:r>
    </w:p>
    <w:p>
      <w:pPr>
        <w:spacing w:after="140"/>
      </w:pPr>
      <w:r>
        <w:rPr>
          <w:sz w:val="20"/>
          <w:szCs w:val="20"/>
        </w:rPr>
        <w:t xml:space="preserve">Filum has no outbound channel: it sends no email, and giving it one would contradict its very promise — nothing leaves your infrastructure. The token is therefore shown to the administrator who issues it, who must hand it over according to your procedure: in person, by phone, through your internal messaging. Two consequences to handle: writing that channel into your procedure, and instructing holders to report a token refused as “already used” — that is the signal that somebody else redeemed it in their place.</w:t>
      </w:r>
    </w:p>
    <w:p>
      <w:pPr>
        <w:spacing w:after="60"/>
      </w:pPr>
      <w:r>
        <w:rPr>
          <w:b/>
          <w:bCs/>
          <w:sz w:val="20"/>
          <w:szCs w:val="20"/>
        </w:rPr>
        <w:t xml:space="preserve">Validate the system in your own environment</w:t>
      </w:r>
    </w:p>
    <w:p>
      <w:pPr>
        <w:spacing w:after="140"/>
      </w:pPr>
      <w:r>
        <w:rPr>
          <w:sz w:val="20"/>
          <w:szCs w:val="20"/>
        </w:rPr>
        <w:t xml:space="preserve">A vendor validation pack does not replace your own qualification for intended use. The mechanisms described here are an input to your protocols; they do not write them for you.</w:t>
      </w:r>
    </w:p>
    <w:p>
      <w:pPr>
        <w:pStyle w:val="Heading1"/>
        <w:spacing w:after="140" w:before="320"/>
      </w:pPr>
      <w:r>
        <w:t xml:space="preserve">7. Check it yourself, in ten minutes</w:t>
      </w:r>
    </w:p>
    <w:p>
      <w:pPr>
        <w:spacing w:after="140"/>
      </w:pPr>
      <w:r>
        <w:rPr>
          <w:sz w:val="20"/>
          <w:szCs w:val="20"/>
        </w:rPr>
        <w:t xml:space="preserve">A vendor's claim is worth nothing unless it can be proven wrong. Here is the procedure; it needs only an Approver account, and for the last two steps, access to the server console.</w:t>
      </w:r>
    </w:p>
    <w:p>
      <w:pPr>
        <w:spacing w:after="90"/>
        <w:ind w:left="300"/>
      </w:pPr>
      <w:r>
        <w:rPr>
          <w:b/>
          <w:bCs/>
          <w:color w:val="4338CA"/>
          <w:sz w:val="20"/>
          <w:szCs w:val="20"/>
        </w:rPr>
        <w:t xml:space="preserve">1. </w:t>
      </w:r>
      <w:r>
        <w:rPr>
          <w:sz w:val="20"/>
          <w:szCs w:val="20"/>
        </w:rPr>
        <w:t xml:space="preserve">Submit a document for review. Note the SHA-256 fingerprint shown in full on its record page.</w:t>
      </w:r>
    </w:p>
    <w:p>
      <w:pPr>
        <w:spacing w:after="90"/>
        <w:ind w:left="300"/>
      </w:pPr>
      <w:r>
        <w:rPr>
          <w:b/>
          <w:bCs/>
          <w:color w:val="4338CA"/>
          <w:sz w:val="20"/>
          <w:szCs w:val="20"/>
        </w:rPr>
        <w:t xml:space="preserve">2. </w:t>
      </w:r>
      <w:r>
        <w:rPr>
          <w:sz w:val="20"/>
          <w:szCs w:val="20"/>
        </w:rPr>
        <w:t xml:space="preserve">Try to modify one of its requirements: the write is refused, and the refusal explains the compliant route.</w:t>
      </w:r>
    </w:p>
    <w:p>
      <w:pPr>
        <w:spacing w:after="90"/>
        <w:ind w:left="300"/>
      </w:pPr>
      <w:r>
        <w:rPr>
          <w:b/>
          <w:bCs/>
          <w:color w:val="4338CA"/>
          <w:sz w:val="20"/>
          <w:szCs w:val="20"/>
        </w:rPr>
        <w:t xml:space="preserve">3. </w:t>
      </w:r>
      <w:r>
        <w:rPr>
          <w:sz w:val="20"/>
          <w:szCs w:val="20"/>
        </w:rPr>
        <w:t xml:space="preserve">Sign, then release. Check that the fingerprint recorded beside the signature is the one noted at step 1.</w:t>
      </w:r>
    </w:p>
    <w:p>
      <w:pPr>
        <w:spacing w:after="90"/>
        <w:ind w:left="300"/>
      </w:pPr>
      <w:r>
        <w:rPr>
          <w:b/>
          <w:bCs/>
          <w:color w:val="4338CA"/>
          <w:sz w:val="20"/>
          <w:szCs w:val="20"/>
        </w:rPr>
        <w:t xml:space="preserve">4. </w:t>
      </w:r>
      <w:r>
        <w:rPr>
          <w:sz w:val="20"/>
          <w:szCs w:val="20"/>
        </w:rPr>
        <w:t xml:space="preserve">Download the record. Open the file: the title page carries the fingerprint, the nature of the record and the freeze date.</w:t>
      </w:r>
    </w:p>
    <w:p>
      <w:pPr>
        <w:spacing w:after="90"/>
        <w:ind w:left="300"/>
      </w:pPr>
      <w:r>
        <w:rPr>
          <w:b/>
          <w:bCs/>
          <w:color w:val="4338CA"/>
          <w:sz w:val="20"/>
          <w:szCs w:val="20"/>
        </w:rPr>
        <w:t xml:space="preserve">5. </w:t>
      </w:r>
      <w:r>
        <w:rPr>
          <w:sz w:val="20"/>
          <w:szCs w:val="20"/>
        </w:rPr>
        <w:t xml:space="preserve">Download a second time and compare the fingerprints of the two files received — on Windows: “certutil -hashfile &lt;file&gt; SHA256”. They are identical.</w:t>
      </w:r>
    </w:p>
    <w:p>
      <w:pPr>
        <w:spacing w:after="90"/>
        <w:ind w:left="300"/>
      </w:pPr>
      <w:r>
        <w:rPr>
          <w:b/>
          <w:bCs/>
          <w:color w:val="4338CA"/>
          <w:sz w:val="20"/>
          <w:szCs w:val="20"/>
        </w:rPr>
        <w:t xml:space="preserve">6. </w:t>
      </w:r>
      <w:r>
        <w:rPr>
          <w:sz w:val="20"/>
          <w:szCs w:val="20"/>
        </w:rPr>
        <w:t xml:space="preserve">Download the live projection from “View the live projection”: the file carries the “WORKING VIEW” banner and its fingerprint differs. That is the expected behaviour — it is not the record.</w:t>
      </w:r>
    </w:p>
    <w:p>
      <w:pPr>
        <w:spacing w:after="90"/>
        <w:ind w:left="300"/>
      </w:pPr>
      <w:r>
        <w:rPr>
          <w:b/>
          <w:bCs/>
          <w:color w:val="4338CA"/>
          <w:sz w:val="20"/>
          <w:szCs w:val="20"/>
        </w:rPr>
        <w:t xml:space="preserve">7. </w:t>
      </w:r>
      <w:r>
        <w:rPr>
          <w:sz w:val="20"/>
          <w:szCs w:val="20"/>
        </w:rPr>
        <w:t xml:space="preserve">From the server console, change one byte of the stored file, then retry the download: it is refused, and the audit trail carries the anomaly.</w:t>
      </w:r>
    </w:p>
    <w:p>
      <w:pPr>
        <w:spacing w:after="90"/>
        <w:ind w:left="300"/>
      </w:pPr>
      <w:r>
        <w:rPr>
          <w:b/>
          <w:bCs/>
          <w:color w:val="4338CA"/>
          <w:sz w:val="20"/>
          <w:szCs w:val="20"/>
        </w:rPr>
        <w:t xml:space="preserve">8. </w:t>
      </w:r>
      <w:r>
        <w:rPr>
          <w:sz w:val="20"/>
          <w:szCs w:val="20"/>
        </w:rPr>
        <w:t xml:space="preserve">Still from the console, modify a requirement directly in the database during another document's review, then try to release it: release is refused and both fingerprints are logged.</w:t>
      </w:r>
    </w:p>
    <w:p>
      <w:pPr>
        <w:spacing w:after="160"/>
      </w:pPr>
      <w:r>
        <w:rPr>
          <w:b/>
          <w:bCs/>
          <w:color w:val="047857"/>
          <w:sz w:val="20"/>
          <w:szCs w:val="20"/>
        </w:rPr>
        <w:t xml:space="preserve">If any of these steps does not behave as described, this note is wrong and we want to know.</w:t>
      </w:r>
    </w:p>
    <w:p>
      <w:pPr>
        <w:pStyle w:val="Heading1"/>
        <w:spacing w:after="140" w:before="320"/>
      </w:pPr>
      <w:r>
        <w:t xml:space="preserve">8. What this mechanism does not cover</w:t>
      </w:r>
    </w:p>
    <w:p>
      <w:pPr>
        <w:spacing w:after="140"/>
      </w:pPr>
      <w:r>
        <w:rPr>
          <w:sz w:val="20"/>
          <w:szCs w:val="20"/>
        </w:rPr>
        <w:t xml:space="preserve">These points also appear in the 21 CFR Part 11 matrix delivered with the software. None prevents the use of Filum; each must be known to your quality manager before deployment.</w:t>
      </w:r>
    </w:p>
    <w:p>
      <w:pPr>
        <w:spacing w:after="60"/>
      </w:pPr>
      <w:r>
        <w:rPr>
          <w:b/>
          <w:bCs/>
          <w:color w:val="B45309"/>
          <w:sz w:val="20"/>
          <w:szCs w:val="20"/>
        </w:rPr>
        <w:t xml:space="preserve">Documents approved before content freezing existed</w:t>
      </w:r>
    </w:p>
    <w:p>
      <w:pPr>
        <w:spacing w:after="140"/>
      </w:pPr>
      <w:r>
        <w:rPr>
          <w:sz w:val="20"/>
          <w:szCs w:val="20"/>
        </w:rPr>
        <w:t xml:space="preserve">A document approved under an earlier version of the software has no frozen copy: the state of the graph at the time of its signatures is not recoverable, and no after-the-fact reconstruction would prove it. Its record page says so explicitly rather than suggesting a missing copy. Freezing applies normally from its next revision: the point closes itself as the document base is revised.</w:t>
      </w:r>
    </w:p>
    <w:p>
      <w:pPr>
        <w:spacing w:after="60"/>
      </w:pPr>
      <w:r>
        <w:rPr>
          <w:b/>
          <w:bCs/>
          <w:color w:val="B45309"/>
          <w:sz w:val="20"/>
          <w:szCs w:val="20"/>
        </w:rPr>
        <w:t xml:space="preserve">Scope of audit-trail chaining</w:t>
      </w:r>
    </w:p>
    <w:p>
      <w:pPr>
        <w:spacing w:after="140"/>
      </w:pPr>
      <w:r>
        <w:rPr>
          <w:sz w:val="20"/>
          <w:szCs w:val="20"/>
        </w:rPr>
        <w:t xml:space="preserve">The chain detects tampering, it does not prevent it: direct database access must remain restricted by your infrastructure. And whoever writes in the database can recompute the chain — it is the archive's timestamped anchor that makes tampering undeniable, provided you produce those archives and keep their anchors outside the system. Finally, entries predating the installation of chaining are protected from the moment they were chained, not retroactively.</w:t>
      </w:r>
    </w:p>
    <w:p>
      <w:pPr>
        <w:spacing w:after="60"/>
      </w:pPr>
      <w:r>
        <w:rPr>
          <w:b/>
          <w:bCs/>
          <w:color w:val="B45309"/>
          <w:sz w:val="20"/>
          <w:szCs w:val="20"/>
        </w:rPr>
        <w:t xml:space="preserve">Scope of the content fingerprint</w:t>
      </w:r>
    </w:p>
    <w:p>
      <w:pPr>
        <w:spacing w:after="140"/>
      </w:pPr>
      <w:r>
        <w:rPr>
          <w:sz w:val="20"/>
          <w:szCs w:val="20"/>
        </w:rPr>
        <w:t xml:space="preserve">The fingerprint covers the graph values the document projects. It is computed from the same query that produces the document, precisely so that the two cannot diverge; but this is an engineering guarantee, not a formal proof. Should they diverge, the failure mode would be failing to detect a drift — never corrupting a stored record.</w:t>
      </w:r>
    </w:p>
    <w:p>
      <w:pPr>
        <w:spacing w:after="60"/>
      </w:pPr>
      <w:r>
        <w:rPr>
          <w:b/>
          <w:bCs/>
          <w:color w:val="B45309"/>
          <w:sz w:val="20"/>
          <w:szCs w:val="20"/>
        </w:rPr>
        <w:t xml:space="preserve">Records approved before per-revision approval existed</w:t>
      </w:r>
    </w:p>
    <w:p>
      <w:pPr>
        <w:spacing w:after="140"/>
      </w:pPr>
      <w:r>
        <w:rPr>
          <w:sz w:val="20"/>
          <w:szCs w:val="20"/>
        </w:rPr>
        <w:t xml:space="preserve">Approval now belongs to a revision: opening the next one creates new rows and leaves those of the released revision untouched — signer, timestamp, signed snapshot and fingerprint of the attested content. Revisions approved BEFORE this change had their rows rewritten: their signatures survive in the audit trail, append-only, and the inspection archive attaches them by that route and says so in its manifest. No reconstruction was fabricated in the database — it would have produced an invented link.</w:t>
      </w:r>
    </w:p>
    <w:p>
      <w:pPr>
        <w:pStyle w:val="Heading1"/>
        <w:spacing w:after="140" w:before="320"/>
      </w:pPr>
      <w:r>
        <w:t xml:space="preserve">9. What you may write, and what you must not</w:t>
      </w:r>
    </w:p>
    <w:p>
      <w:pPr>
        <w:spacing w:after="140"/>
      </w:pPr>
      <w:r>
        <w:rPr>
          <w:sz w:val="20"/>
          <w:szCs w:val="20"/>
        </w:rPr>
        <w:t xml:space="preserve">This note does not make your organisation compliant, and Filum is not “21 CFR Part 11 compliant”: compliance belongs to the organisation operating the system, and the §11.100(c) certification is an act of that organisation towards the FDA. Wording you can use in your quality documentation:</w:t>
      </w:r>
    </w:p>
    <w:p>
      <w:pPr>
        <w:spacing w:after="200"/>
        <w:ind w:left="400" w:right="400"/>
      </w:pPr>
      <w:r>
        <w:rPr>
          <w:i/>
          <w:iCs/>
          <w:sz w:val="17"/>
          <w:szCs w:val="17"/>
        </w:rPr>
        <w:t xml:space="preserve">“Design records approved in Filum are frozen at the moment they are submitted for approval: the system keeps the approved file byte for byte together with the SHA-256 fingerprint of the projected content, every electronic signature carries the fingerprint of the content it attests, and release is refused if the content has changed since the freeze. The copy handed to an inspector is re-read from that retention, never regenerated. The traceability graph remains queryable after release, in line with the preference expressed by data integrity guidance for dynamic retention.”</w:t>
      </w:r>
    </w:p>
    <w:p>
      <w:pPr>
        <w:spacing w:after="200"/>
      </w:pPr>
      <w:r>
        <w:rPr>
          <w:b/>
          <w:bCs/>
          <w:sz w:val="20"/>
          <w:szCs w:val="20"/>
        </w:rPr>
        <w:t xml:space="preserve">Conversely, never write that the software “guarantees compliance” or that it “regenerates documents identically”: the first claim is legally inoperative, the second is technically false for the reason set out in section 4.</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of </w:t>
    </w:r>
    <w:r>
      <w:rPr>
        <w:color w:val="475569"/>
        <w:sz w:val="15"/>
        <w:szCs w:val="15"/>
      </w:rPr>
      <w:fldChar w:fldCharType="begin"/>
      <w:instrText xml:space="preserve">NUMPAGES</w:instrText>
      <w:fldChar w:fldCharType="separate"/>
      <w:fldChar w:fldCharType="end"/>
    </w:r>
    <w:r>
      <w:rPr>
        <w:color w:val="475569"/>
        <w:sz w:val="15"/>
        <w:szCs w:val="15"/>
      </w:rPr>
      <w:t xml:space="preserve">   ·   To be read alongside the 21 CFR Part 11 matrix. Describes the software as delivered.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Data integrity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2026-10-01T11:27:24.727Z</dcterms:created>
  <dcterms:modified xsi:type="dcterms:W3CDTF">2026-10-01T11:27:24.728Z</dcterms:modified>
</cp:coreProperties>
</file>

<file path=docProps/custom.xml><?xml version="1.0" encoding="utf-8"?>
<Properties xmlns="http://schemas.openxmlformats.org/officeDocument/2006/custom-properties" xmlns:vt="http://schemas.openxmlformats.org/officeDocument/2006/docPropsVTypes"/>
</file>