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800"/>
        <w:jc w:val="center"/>
      </w:pPr>
      <w:r>
        <w:rPr>
          <w:b/>
          <w:bCs/>
          <w:color w:val="4338CA"/>
          <w:sz w:val="44"/>
          <w:szCs w:val="44"/>
        </w:rPr>
        <w:t xml:space="preserve">Filum</w:t>
      </w:r>
    </w:p>
    <w:p>
      <w:pPr>
        <w:spacing w:after="60"/>
        <w:jc w:val="center"/>
      </w:pPr>
      <w:r>
        <w:rPr>
          <w:b/>
          <w:bCs/>
          <w:sz w:val="34"/>
          <w:szCs w:val="34"/>
        </w:rPr>
        <w:t xml:space="preserve">Load behaviour note</w:t>
      </w:r>
    </w:p>
    <w:p>
      <w:pPr>
        <w:spacing w:after="700"/>
        <w:jc w:val="center"/>
      </w:pPr>
      <w:r>
        <w:rPr>
          <w:color w:val="475569"/>
          <w:sz w:val="22"/>
          <w:szCs w:val="22"/>
        </w:rPr>
        <w:t xml:space="preserve">Campaign measured on 2026-08-06 · version 1.2.1 · what degrades, and from when</w:t>
      </w:r>
    </w:p>
    <w:p>
      <w:pPr>
        <w:pStyle w:val="Heading1"/>
        <w:spacing w:after="140" w:before="320"/>
      </w:pPr>
      <w:r>
        <w:t xml:space="preserve">1. Purpose, and what this note does not replace</w:t>
      </w:r>
    </w:p>
    <w:p>
      <w:pPr>
        <w:spacing w:after="160"/>
      </w:pPr>
      <w:r>
        <w:rPr>
          <w:sz w:val="20"/>
          <w:szCs w:val="20"/>
        </w:rPr>
        <w:t xml:space="preserve">The validation file declared load behaviour outside its scope. The wording added that “scaling measurements exist but belong to operations”: that was untrue, no measurement existed. This note replaces that claim with figures, obtained through a reproducible campaign whose script ships with the product.</w:t>
      </w:r>
    </w:p>
    <w:p>
      <w:pPr>
        <w:spacing w:after="160"/>
      </w:pPr>
      <w:r>
        <w:rPr>
          <w:sz w:val="20"/>
          <w:szCs w:val="20"/>
        </w:rPr>
        <w:t xml:space="preserve">This is NOT your performance qualification. The measurements were taken at the vendor's, on a machine described in section 2, with no concurrent user and no network. They say how the software behaves as volume grows; they do not say how it will behave on your infrastructure. Your PQ remains required, and this note gives it a point of comparison rather than an exemption.</w:t>
      </w:r>
    </w:p>
    <w:p>
      <w:pPr>
        <w:pStyle w:val="Heading1"/>
        <w:spacing w:after="140" w:before="320"/>
      </w:pPr>
      <w:r>
        <w:t xml:space="preserve">2. Method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2%"/>
            <w:shd w:fill="E0E7FF"/>
            <w:tcMar>
              <w:top w:type="dxa" w:w="80"/>
              <w:left w:type="dxa" w:w="110"/>
              <w:bottom w:type="dxa" w:w="80"/>
              <w:right w:type="dxa" w:w="110"/>
            </w:tcMar>
          </w:tcPr>
          <w:p>
            <w:pPr>
              <w:spacing w:after="0"/>
            </w:pPr>
            <w:r>
              <w:rPr>
                <w:b/>
                <w:bCs/>
                <w:sz w:val="17"/>
                <w:szCs w:val="17"/>
              </w:rPr>
              <w:t xml:space="preserve">Machine</w:t>
            </w:r>
          </w:p>
        </w:tc>
        <w:tc>
          <w:tcPr>
            <w:tcW w:type="pct" w:w="78%"/>
            <w:tcMar>
              <w:top w:type="dxa" w:w="80"/>
              <w:left w:type="dxa" w:w="110"/>
              <w:bottom w:type="dxa" w:w="80"/>
              <w:right w:type="dxa" w:w="110"/>
            </w:tcMar>
          </w:tcPr>
          <w:p>
            <w:pPr>
              <w:spacing w:after="0"/>
            </w:pPr>
            <w:r>
              <w:rPr>
                <w:sz w:val="17"/>
                <w:szCs w:val="17"/>
              </w:rPr>
              <w:t xml:space="preserve">AMD Ryzen 7 5800X 8-Core Processor · 32 GB of memory · Windows_NT 10.0.26200 (x64) · Node v24.18.0</w:t>
            </w:r>
          </w:p>
        </w:tc>
      </w:tr>
      <w:tr>
        <w:tc>
          <w:tcPr>
            <w:tcW w:type="pct" w:w="22%"/>
            <w:shd w:fill="E0E7FF"/>
            <w:tcMar>
              <w:top w:type="dxa" w:w="80"/>
              <w:left w:type="dxa" w:w="110"/>
              <w:bottom w:type="dxa" w:w="80"/>
              <w:right w:type="dxa" w:w="110"/>
            </w:tcMar>
          </w:tcPr>
          <w:p>
            <w:pPr>
              <w:spacing w:after="0"/>
            </w:pPr>
            <w:r>
              <w:rPr>
                <w:b/>
                <w:bCs/>
                <w:sz w:val="17"/>
                <w:szCs w:val="17"/>
              </w:rPr>
              <w:t xml:space="preserve">Database</w:t>
            </w:r>
          </w:p>
        </w:tc>
        <w:tc>
          <w:tcPr>
            <w:tcW w:type="pct" w:w="78%"/>
            <w:tcMar>
              <w:top w:type="dxa" w:w="80"/>
              <w:left w:type="dxa" w:w="110"/>
              <w:bottom w:type="dxa" w:w="80"/>
              <w:right w:type="dxa" w:w="110"/>
            </w:tcMar>
          </w:tcPr>
          <w:p>
            <w:pPr>
              <w:spacing w:after="0"/>
            </w:pPr>
            <w:r>
              <w:rPr>
                <w:sz w:val="17"/>
                <w:szCs w:val="17"/>
              </w:rPr>
              <w:t xml:space="preserve">SQLite, the engine shipped with the product. A disposable file created for the campaign and destroyed at the end: neither the demonstration database nor a customer's is touched.</w:t>
            </w:r>
          </w:p>
        </w:tc>
      </w:tr>
      <w:tr>
        <w:tc>
          <w:tcPr>
            <w:tcW w:type="pct" w:w="22%"/>
            <w:shd w:fill="E0E7FF"/>
            <w:tcMar>
              <w:top w:type="dxa" w:w="80"/>
              <w:left w:type="dxa" w:w="110"/>
              <w:bottom w:type="dxa" w:w="80"/>
              <w:right w:type="dxa" w:w="110"/>
            </w:tcMar>
          </w:tcPr>
          <w:p>
            <w:pPr>
              <w:spacing w:after="0"/>
            </w:pPr>
            <w:r>
              <w:rPr>
                <w:b/>
                <w:bCs/>
                <w:sz w:val="17"/>
                <w:szCs w:val="17"/>
              </w:rPr>
              <w:t xml:space="preserve">Scales</w:t>
            </w:r>
          </w:p>
        </w:tc>
        <w:tc>
          <w:tcPr>
            <w:tcW w:type="pct" w:w="78%"/>
            <w:tcMar>
              <w:top w:type="dxa" w:w="80"/>
              <w:left w:type="dxa" w:w="110"/>
              <w:bottom w:type="dxa" w:w="80"/>
              <w:right w:type="dxa" w:w="110"/>
            </w:tcMar>
          </w:tcPr>
          <w:p>
            <w:pPr>
              <w:spacing w:after="0"/>
            </w:pPr>
            <w:r>
              <w:rPr>
                <w:sz w:val="17"/>
                <w:szCs w:val="17"/>
              </w:rPr>
              <w:t xml:space="preserve">Cumulative: each step adds to the previous corpus, like an installation growing older. Starting from an empty database would measure new installations, not a rise in load.</w:t>
            </w:r>
          </w:p>
        </w:tc>
      </w:tr>
      <w:tr>
        <w:tc>
          <w:tcPr>
            <w:tcW w:type="pct" w:w="22%"/>
            <w:shd w:fill="E0E7FF"/>
            <w:tcMar>
              <w:top w:type="dxa" w:w="80"/>
              <w:left w:type="dxa" w:w="110"/>
              <w:bottom w:type="dxa" w:w="80"/>
              <w:right w:type="dxa" w:w="110"/>
            </w:tcMar>
          </w:tcPr>
          <w:p>
            <w:pPr>
              <w:spacing w:after="0"/>
            </w:pPr>
            <w:r>
              <w:rPr>
                <w:b/>
                <w:bCs/>
                <w:sz w:val="17"/>
                <w:szCs w:val="17"/>
              </w:rPr>
              <w:t xml:space="preserve">Writes</w:t>
            </w:r>
          </w:p>
        </w:tc>
        <w:tc>
          <w:tcPr>
            <w:tcW w:type="pct" w:w="78%"/>
            <w:tcMar>
              <w:top w:type="dxa" w:w="80"/>
              <w:left w:type="dxa" w:w="110"/>
              <w:bottom w:type="dxa" w:w="80"/>
              <w:right w:type="dxa" w:w="110"/>
            </w:tcMar>
          </w:tcPr>
          <w:p>
            <w:pPr>
              <w:spacing w:after="0"/>
            </w:pPr>
            <w:r>
              <w:rPr>
                <w:sz w:val="17"/>
                <w:szCs w:val="17"/>
              </w:rPr>
              <w:t xml:space="preserve">Audit entries go through the application's single chokepoint, chaining included. Writing them in bulk would have been faster and would have bypassed the chaining: the measured cost is the real cost.</w:t>
            </w:r>
          </w:p>
        </w:tc>
      </w:tr>
      <w:tr>
        <w:tc>
          <w:tcPr>
            <w:tcW w:type="pct" w:w="22%"/>
            <w:shd w:fill="E0E7FF"/>
            <w:tcMar>
              <w:top w:type="dxa" w:w="80"/>
              <w:left w:type="dxa" w:w="110"/>
              <w:bottom w:type="dxa" w:w="80"/>
              <w:right w:type="dxa" w:w="110"/>
            </w:tcMar>
          </w:tcPr>
          <w:p>
            <w:pPr>
              <w:spacing w:after="0"/>
            </w:pPr>
            <w:r>
              <w:rPr>
                <w:b/>
                <w:bCs/>
                <w:sz w:val="17"/>
                <w:szCs w:val="17"/>
              </w:rPr>
              <w:t xml:space="preserve">Frozen records</w:t>
            </w:r>
          </w:p>
        </w:tc>
        <w:tc>
          <w:tcPr>
            <w:tcW w:type="pct" w:w="78%"/>
            <w:tcMar>
              <w:top w:type="dxa" w:w="80"/>
              <w:left w:type="dxa" w:w="110"/>
              <w:bottom w:type="dxa" w:w="80"/>
              <w:right w:type="dxa" w:w="110"/>
            </w:tcMar>
          </w:tcPr>
          <w:p>
            <w:pPr>
              <w:spacing w:after="0"/>
            </w:pPr>
            <w:r>
              <w:rPr>
                <w:sz w:val="17"/>
                <w:szCs w:val="17"/>
              </w:rPr>
              <w:t xml:space="preserve">A fifth of the documents go through real content freezing, .docx generation included. Without that, the inspection archive re-reads no bytes and its figure flatters the product — the first campaign showed this by reporting “0 records”.</w:t>
            </w:r>
          </w:p>
        </w:tc>
      </w:tr>
      <w:tr>
        <w:tc>
          <w:tcPr>
            <w:tcW w:type="pct" w:w="22%"/>
            <w:shd w:fill="E0E7FF"/>
            <w:tcMar>
              <w:top w:type="dxa" w:w="80"/>
              <w:left w:type="dxa" w:w="110"/>
              <w:bottom w:type="dxa" w:w="80"/>
              <w:right w:type="dxa" w:w="110"/>
            </w:tcMar>
          </w:tcPr>
          <w:p>
            <w:pPr>
              <w:spacing w:after="0"/>
            </w:pPr>
            <w:r>
              <w:rPr>
                <w:b/>
                <w:bCs/>
                <w:sz w:val="17"/>
                <w:szCs w:val="17"/>
              </w:rPr>
              <w:t xml:space="preserve">Timing</w:t>
            </w:r>
          </w:p>
        </w:tc>
        <w:tc>
          <w:tcPr>
            <w:tcW w:type="pct" w:w="78%"/>
            <w:tcMar>
              <w:top w:type="dxa" w:w="80"/>
              <w:left w:type="dxa" w:w="110"/>
              <w:bottom w:type="dxa" w:w="80"/>
              <w:right w:type="dxa" w:w="110"/>
            </w:tcMar>
          </w:tcPr>
          <w:p>
            <w:pPr>
              <w:spacing w:after="0"/>
            </w:pPr>
            <w:r>
              <w:rPr>
                <w:sz w:val="17"/>
                <w:szCs w:val="17"/>
              </w:rPr>
              <w:t xml:space="preserve">Warm-up excluded, then repetitions; the MEDIAN is published, together with the highest value observed. Each measurement carries a witness of what it produced: an operation that returned nothing would run very fast, and a regression would read as an improvement.</w:t>
            </w:r>
          </w:p>
        </w:tc>
      </w:tr>
    </w:tbl>
    <w:p>
      <w:pPr>
        <w:pStyle w:val="Heading1"/>
        <w:spacing w:after="140" w:before="320"/>
      </w:pPr>
      <w:r>
        <w:t xml:space="preserve">3. Results</w:t>
      </w:r>
    </w:p>
    <w:p>
      <w:pPr>
        <w:spacing w:after="140"/>
      </w:pPr>
      <w:r>
        <w:rPr>
          <w:sz w:val="20"/>
          <w:szCs w:val="20"/>
        </w:rPr>
        <w:t xml:space="preserve">Median, with the highest observed value in brackets. Volumes are those actually present in the database at the time of measurement.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pct" w:w="30%"/>
            <w:shd w:fill="E0E7FF"/>
            <w:tcMar>
              <w:top w:type="dxa" w:w="80"/>
              <w:left w:type="dxa" w:w="110"/>
              <w:bottom w:type="dxa" w:w="80"/>
              <w:right w:type="dxa" w:w="110"/>
            </w:tcMar>
          </w:tcPr>
          <w:p>
            <w:pPr>
              <w:spacing w:after="0"/>
            </w:pPr>
            <w:r>
              <w:rPr>
                <w:b/>
                <w:bCs/>
                <w:sz w:val="17"/>
                <w:szCs w:val="17"/>
              </w:rPr>
              <w:t xml:space="preserve">Operation</w:t>
            </w:r>
          </w:p>
        </w:tc>
        <w:tc>
          <w:tcPr>
            <w:tcW w:type="pct" w:w="26%"/>
            <w:shd w:fill="E0E7FF"/>
            <w:tcMar>
              <w:top w:type="dxa" w:w="80"/>
              <w:left w:type="dxa" w:w="110"/>
              <w:bottom w:type="dxa" w:w="80"/>
              <w:right w:type="dxa" w:w="110"/>
            </w:tcMar>
          </w:tcPr>
          <w:p>
            <w:pPr>
              <w:spacing w:after="0"/>
            </w:pPr>
            <w:r>
              <w:rPr>
                <w:b/>
                <w:bCs/>
                <w:sz w:val="17"/>
                <w:szCs w:val="17"/>
              </w:rPr>
              <w:t xml:space="preserve">When it happens</w:t>
            </w:r>
          </w:p>
        </w:tc>
        <w:tc>
          <w:tcPr>
            <w:tcW w:type="pct" w:w="14%"/>
            <w:shd w:fill="E0E7FF"/>
            <w:tcMar>
              <w:top w:type="dxa" w:w="80"/>
              <w:left w:type="dxa" w:w="110"/>
              <w:bottom w:type="dxa" w:w="80"/>
              <w:right w:type="dxa" w:w="110"/>
            </w:tcMar>
          </w:tcPr>
          <w:p>
            <w:pPr>
              <w:spacing w:after="0"/>
            </w:pPr>
            <w:r>
              <w:rPr>
                <w:b/>
                <w:bCs/>
                <w:sz w:val="17"/>
                <w:szCs w:val="17"/>
              </w:rPr>
              <w:t xml:space="preserve">A — 1,031 entries</w:t>
            </w:r>
          </w:p>
        </w:tc>
        <w:tc>
          <w:tcPr>
            <w:tcW w:type="pct" w:w="14%"/>
            <w:shd w:fill="E0E7FF"/>
            <w:tcMar>
              <w:top w:type="dxa" w:w="80"/>
              <w:left w:type="dxa" w:w="110"/>
              <w:bottom w:type="dxa" w:w="80"/>
              <w:right w:type="dxa" w:w="110"/>
            </w:tcMar>
          </w:tcPr>
          <w:p>
            <w:pPr>
              <w:spacing w:after="0"/>
            </w:pPr>
            <w:r>
              <w:rPr>
                <w:b/>
                <w:bCs/>
                <w:sz w:val="17"/>
                <w:szCs w:val="17"/>
              </w:rPr>
              <w:t xml:space="preserve">B — 10,074 entries</w:t>
            </w:r>
          </w:p>
        </w:tc>
        <w:tc>
          <w:tcPr>
            <w:tcW w:type="pct" w:w="14%"/>
            <w:shd w:fill="E0E7FF"/>
            <w:tcMar>
              <w:top w:type="dxa" w:w="80"/>
              <w:left w:type="dxa" w:w="110"/>
              <w:bottom w:type="dxa" w:w="80"/>
              <w:right w:type="dxa" w:w="110"/>
            </w:tcMar>
          </w:tcPr>
          <w:p>
            <w:pPr>
              <w:spacing w:after="0"/>
            </w:pPr>
            <w:r>
              <w:rPr>
                <w:b/>
                <w:bCs/>
                <w:sz w:val="17"/>
                <w:szCs w:val="17"/>
              </w:rPr>
              <w:t xml:space="preserve">C — 50,143 entries</w:t>
            </w:r>
          </w:p>
        </w:tc>
      </w:tr>
      <w:tr>
        <w:tc>
          <w:tcPr>
            <w:tcW w:type="pct" w:w="30%"/>
            <w:tcMar>
              <w:top w:type="dxa" w:w="80"/>
              <w:left w:type="dxa" w:w="110"/>
              <w:bottom w:type="dxa" w:w="80"/>
              <w:right w:type="dxa" w:w="110"/>
            </w:tcMar>
          </w:tcPr>
          <w:p>
            <w:pPr>
              <w:spacing w:after="0"/>
            </w:pPr>
            <w:r>
              <w:rPr>
                <w:b/>
                <w:bCs/>
                <w:sz w:val="17"/>
                <w:szCs w:val="17"/>
              </w:rPr>
              <w:t xml:space="preserve">Audit chain verification</w:t>
            </w:r>
          </w:p>
        </w:tc>
        <w:tc>
          <w:tcPr>
            <w:tcW w:type="pct" w:w="26%"/>
            <w:tcMar>
              <w:top w:type="dxa" w:w="80"/>
              <w:left w:type="dxa" w:w="110"/>
              <w:bottom w:type="dxa" w:w="80"/>
              <w:right w:type="dxa" w:w="110"/>
            </w:tcMar>
          </w:tcPr>
          <w:p>
            <w:pPr>
              <w:spacing w:after="0"/>
            </w:pPr>
            <w:r>
              <w:rPr>
                <w:color w:val="475569"/>
                <w:sz w:val="17"/>
                <w:szCs w:val="17"/>
              </w:rPr>
              <w:t xml:space="preserve">on every display of the audit screen</w:t>
            </w:r>
          </w:p>
        </w:tc>
        <w:tc>
          <w:tcPr>
            <w:tcW w:type="pct" w:w="14%"/>
            <w:tcMar>
              <w:top w:type="dxa" w:w="80"/>
              <w:left w:type="dxa" w:w="110"/>
              <w:bottom w:type="dxa" w:w="80"/>
              <w:right w:type="dxa" w:w="110"/>
            </w:tcMar>
          </w:tcPr>
          <w:p>
            <w:pPr>
              <w:spacing w:after="0"/>
            </w:pPr>
            <w:r>
              <w:rPr>
                <w:sz w:val="17"/>
                <w:szCs w:val="17"/>
              </w:rPr>
              <w:t xml:space="preserve">15.7 ms  (17 ms)</w:t>
            </w:r>
          </w:p>
        </w:tc>
        <w:tc>
          <w:tcPr>
            <w:tcW w:type="pct" w:w="14%"/>
            <w:tcMar>
              <w:top w:type="dxa" w:w="80"/>
              <w:left w:type="dxa" w:w="110"/>
              <w:bottom w:type="dxa" w:w="80"/>
              <w:right w:type="dxa" w:w="110"/>
            </w:tcMar>
          </w:tcPr>
          <w:p>
            <w:pPr>
              <w:spacing w:after="0"/>
            </w:pPr>
            <w:r>
              <w:rPr>
                <w:sz w:val="17"/>
                <w:szCs w:val="17"/>
              </w:rPr>
              <w:t xml:space="preserve">144.2 ms  (160 ms)</w:t>
            </w:r>
          </w:p>
        </w:tc>
        <w:tc>
          <w:tcPr>
            <w:tcW w:type="pct" w:w="14%"/>
            <w:tcMar>
              <w:top w:type="dxa" w:w="80"/>
              <w:left w:type="dxa" w:w="110"/>
              <w:bottom w:type="dxa" w:w="80"/>
              <w:right w:type="dxa" w:w="110"/>
            </w:tcMar>
          </w:tcPr>
          <w:p>
            <w:pPr>
              <w:spacing w:after="0"/>
            </w:pPr>
            <w:r>
              <w:rPr>
                <w:sz w:val="17"/>
                <w:szCs w:val="17"/>
              </w:rPr>
              <w:t xml:space="preserve">749.9 ms  (780.1 ms)</w:t>
            </w:r>
          </w:p>
        </w:tc>
      </w:tr>
      <w:tr>
        <w:tc>
          <w:tcPr>
            <w:tcW w:type="pct" w:w="30%"/>
            <w:tcMar>
              <w:top w:type="dxa" w:w="80"/>
              <w:left w:type="dxa" w:w="110"/>
              <w:bottom w:type="dxa" w:w="80"/>
              <w:right w:type="dxa" w:w="110"/>
            </w:tcMar>
          </w:tcPr>
          <w:p>
            <w:pPr>
              <w:spacing w:after="0"/>
            </w:pPr>
            <w:r>
              <w:rPr>
                <w:b/>
                <w:bCs/>
                <w:sz w:val="17"/>
                <w:szCs w:val="17"/>
              </w:rPr>
              <w:t xml:space="preserve">Audit screen query</w:t>
            </w:r>
          </w:p>
        </w:tc>
        <w:tc>
          <w:tcPr>
            <w:tcW w:type="pct" w:w="26%"/>
            <w:tcMar>
              <w:top w:type="dxa" w:w="80"/>
              <w:left w:type="dxa" w:w="110"/>
              <w:bottom w:type="dxa" w:w="80"/>
              <w:right w:type="dxa" w:w="110"/>
            </w:tcMar>
          </w:tcPr>
          <w:p>
            <w:pPr>
              <w:spacing w:after="0"/>
            </w:pPr>
            <w:r>
              <w:rPr>
                <w:color w:val="475569"/>
                <w:sz w:val="17"/>
                <w:szCs w:val="17"/>
              </w:rPr>
              <w:t xml:space="preserve">last 200 entries + total</w:t>
            </w:r>
          </w:p>
        </w:tc>
        <w:tc>
          <w:tcPr>
            <w:tcW w:type="pct" w:w="14%"/>
            <w:tcMar>
              <w:top w:type="dxa" w:w="80"/>
              <w:left w:type="dxa" w:w="110"/>
              <w:bottom w:type="dxa" w:w="80"/>
              <w:right w:type="dxa" w:w="110"/>
            </w:tcMar>
          </w:tcPr>
          <w:p>
            <w:pPr>
              <w:spacing w:after="0"/>
            </w:pPr>
            <w:r>
              <w:rPr>
                <w:sz w:val="17"/>
                <w:szCs w:val="17"/>
              </w:rPr>
              <w:t xml:space="preserve">3.6 ms  (4.4 ms)</w:t>
            </w:r>
          </w:p>
        </w:tc>
        <w:tc>
          <w:tcPr>
            <w:tcW w:type="pct" w:w="14%"/>
            <w:tcMar>
              <w:top w:type="dxa" w:w="80"/>
              <w:left w:type="dxa" w:w="110"/>
              <w:bottom w:type="dxa" w:w="80"/>
              <w:right w:type="dxa" w:w="110"/>
            </w:tcMar>
          </w:tcPr>
          <w:p>
            <w:pPr>
              <w:spacing w:after="0"/>
            </w:pPr>
            <w:r>
              <w:rPr>
                <w:sz w:val="17"/>
                <w:szCs w:val="17"/>
              </w:rPr>
              <w:t xml:space="preserve">15.8 ms  (16.3 ms)</w:t>
            </w:r>
          </w:p>
        </w:tc>
        <w:tc>
          <w:tcPr>
            <w:tcW w:type="pct" w:w="14%"/>
            <w:tcMar>
              <w:top w:type="dxa" w:w="80"/>
              <w:left w:type="dxa" w:w="110"/>
              <w:bottom w:type="dxa" w:w="80"/>
              <w:right w:type="dxa" w:w="110"/>
            </w:tcMar>
          </w:tcPr>
          <w:p>
            <w:pPr>
              <w:spacing w:after="0"/>
            </w:pPr>
            <w:r>
              <w:rPr>
                <w:sz w:val="17"/>
                <w:szCs w:val="17"/>
              </w:rPr>
              <w:t xml:space="preserve">75.2 ms  (81 ms)</w:t>
            </w:r>
          </w:p>
        </w:tc>
      </w:tr>
      <w:tr>
        <w:tc>
          <w:tcPr>
            <w:tcW w:type="pct" w:w="30%"/>
            <w:tcMar>
              <w:top w:type="dxa" w:w="80"/>
              <w:left w:type="dxa" w:w="110"/>
              <w:bottom w:type="dxa" w:w="80"/>
              <w:right w:type="dxa" w:w="110"/>
            </w:tcMar>
          </w:tcPr>
          <w:p>
            <w:pPr>
              <w:spacing w:after="0"/>
            </w:pPr>
            <w:r>
              <w:rPr>
                <w:b/>
                <w:bCs/>
                <w:sz w:val="17"/>
                <w:szCs w:val="17"/>
              </w:rPr>
              <w:t xml:space="preserve">Traceability matrix</w:t>
            </w:r>
          </w:p>
        </w:tc>
        <w:tc>
          <w:tcPr>
            <w:tcW w:type="pct" w:w="26%"/>
            <w:tcMar>
              <w:top w:type="dxa" w:w="80"/>
              <w:left w:type="dxa" w:w="110"/>
              <w:bottom w:type="dxa" w:w="80"/>
              <w:right w:type="dxa" w:w="110"/>
            </w:tcMar>
          </w:tcPr>
          <w:p>
            <w:pPr>
              <w:spacing w:after="0"/>
            </w:pPr>
            <w:r>
              <w:rPr>
                <w:color w:val="475569"/>
                <w:sz w:val="17"/>
                <w:szCs w:val="17"/>
              </w:rPr>
              <w:t xml:space="preserve">on display and on CSV export</w:t>
            </w:r>
          </w:p>
        </w:tc>
        <w:tc>
          <w:tcPr>
            <w:tcW w:type="pct" w:w="14%"/>
            <w:tcMar>
              <w:top w:type="dxa" w:w="80"/>
              <w:left w:type="dxa" w:w="110"/>
              <w:bottom w:type="dxa" w:w="80"/>
              <w:right w:type="dxa" w:w="110"/>
            </w:tcMar>
          </w:tcPr>
          <w:p>
            <w:pPr>
              <w:spacing w:after="0"/>
            </w:pPr>
            <w:r>
              <w:rPr>
                <w:sz w:val="17"/>
                <w:szCs w:val="17"/>
              </w:rPr>
              <w:t xml:space="preserve">3 ms  (3.3 ms)</w:t>
            </w:r>
          </w:p>
        </w:tc>
        <w:tc>
          <w:tcPr>
            <w:tcW w:type="pct" w:w="14%"/>
            <w:tcMar>
              <w:top w:type="dxa" w:w="80"/>
              <w:left w:type="dxa" w:w="110"/>
              <w:bottom w:type="dxa" w:w="80"/>
              <w:right w:type="dxa" w:w="110"/>
            </w:tcMar>
          </w:tcPr>
          <w:p>
            <w:pPr>
              <w:spacing w:after="0"/>
            </w:pPr>
            <w:r>
              <w:rPr>
                <w:sz w:val="17"/>
                <w:szCs w:val="17"/>
              </w:rPr>
              <w:t xml:space="preserve">8.3 ms  (8.6 ms)</w:t>
            </w:r>
          </w:p>
        </w:tc>
        <w:tc>
          <w:tcPr>
            <w:tcW w:type="pct" w:w="14%"/>
            <w:tcMar>
              <w:top w:type="dxa" w:w="80"/>
              <w:left w:type="dxa" w:w="110"/>
              <w:bottom w:type="dxa" w:w="80"/>
              <w:right w:type="dxa" w:w="110"/>
            </w:tcMar>
          </w:tcPr>
          <w:p>
            <w:pPr>
              <w:spacing w:after="0"/>
            </w:pPr>
            <w:r>
              <w:rPr>
                <w:sz w:val="17"/>
                <w:szCs w:val="17"/>
              </w:rPr>
              <w:t xml:space="preserve">21.8 ms  (22.9 ms)</w:t>
            </w:r>
          </w:p>
        </w:tc>
      </w:tr>
      <w:tr>
        <w:tc>
          <w:tcPr>
            <w:tcW w:type="pct" w:w="30%"/>
            <w:tcMar>
              <w:top w:type="dxa" w:w="80"/>
              <w:left w:type="dxa" w:w="110"/>
              <w:bottom w:type="dxa" w:w="80"/>
              <w:right w:type="dxa" w:w="110"/>
            </w:tcMar>
          </w:tcPr>
          <w:p>
            <w:pPr>
              <w:spacing w:after="0"/>
            </w:pPr>
            <w:r>
              <w:rPr>
                <w:b/>
                <w:bCs/>
                <w:sz w:val="17"/>
                <w:szCs w:val="17"/>
              </w:rPr>
              <w:t xml:space="preserve">Writing one audit entry</w:t>
            </w:r>
          </w:p>
        </w:tc>
        <w:tc>
          <w:tcPr>
            <w:tcW w:type="pct" w:w="26%"/>
            <w:tcMar>
              <w:top w:type="dxa" w:w="80"/>
              <w:left w:type="dxa" w:w="110"/>
              <w:bottom w:type="dxa" w:w="80"/>
              <w:right w:type="dxa" w:w="110"/>
            </w:tcMar>
          </w:tcPr>
          <w:p>
            <w:pPr>
              <w:spacing w:after="0"/>
            </w:pPr>
            <w:r>
              <w:rPr>
                <w:color w:val="475569"/>
                <w:sz w:val="17"/>
                <w:szCs w:val="17"/>
              </w:rPr>
              <w:t xml:space="preserve">on every logged action</w:t>
            </w:r>
          </w:p>
        </w:tc>
        <w:tc>
          <w:tcPr>
            <w:tcW w:type="pct" w:w="14%"/>
            <w:tcMar>
              <w:top w:type="dxa" w:w="80"/>
              <w:left w:type="dxa" w:w="110"/>
              <w:bottom w:type="dxa" w:w="80"/>
              <w:right w:type="dxa" w:w="110"/>
            </w:tcMar>
          </w:tcPr>
          <w:p>
            <w:pPr>
              <w:spacing w:after="0"/>
            </w:pPr>
            <w:r>
              <w:rPr>
                <w:sz w:val="17"/>
                <w:szCs w:val="17"/>
              </w:rPr>
              <w:t xml:space="preserve">2.3 ms  (2.6 ms)</w:t>
            </w:r>
          </w:p>
        </w:tc>
        <w:tc>
          <w:tcPr>
            <w:tcW w:type="pct" w:w="14%"/>
            <w:tcMar>
              <w:top w:type="dxa" w:w="80"/>
              <w:left w:type="dxa" w:w="110"/>
              <w:bottom w:type="dxa" w:w="80"/>
              <w:right w:type="dxa" w:w="110"/>
            </w:tcMar>
          </w:tcPr>
          <w:p>
            <w:pPr>
              <w:spacing w:after="0"/>
            </w:pPr>
            <w:r>
              <w:rPr>
                <w:sz w:val="17"/>
                <w:szCs w:val="17"/>
              </w:rPr>
              <w:t xml:space="preserve">2.1 ms  (2.6 ms)</w:t>
            </w:r>
          </w:p>
        </w:tc>
        <w:tc>
          <w:tcPr>
            <w:tcW w:type="pct" w:w="14%"/>
            <w:tcMar>
              <w:top w:type="dxa" w:w="80"/>
              <w:left w:type="dxa" w:w="110"/>
              <w:bottom w:type="dxa" w:w="80"/>
              <w:right w:type="dxa" w:w="110"/>
            </w:tcMar>
          </w:tcPr>
          <w:p>
            <w:pPr>
              <w:spacing w:after="0"/>
            </w:pPr>
            <w:r>
              <w:rPr>
                <w:sz w:val="17"/>
                <w:szCs w:val="17"/>
              </w:rPr>
              <w:t xml:space="preserve">2 ms  (2.5 ms)</w:t>
            </w:r>
          </w:p>
        </w:tc>
      </w:tr>
      <w:tr>
        <w:tc>
          <w:tcPr>
            <w:tcW w:type="pct" w:w="30%"/>
            <w:tcMar>
              <w:top w:type="dxa" w:w="80"/>
              <w:left w:type="dxa" w:w="110"/>
              <w:bottom w:type="dxa" w:w="80"/>
              <w:right w:type="dxa" w:w="110"/>
            </w:tcMar>
          </w:tcPr>
          <w:p>
            <w:pPr>
              <w:spacing w:after="0"/>
            </w:pPr>
            <w:r>
              <w:rPr>
                <w:b/>
                <w:bCs/>
                <w:sz w:val="17"/>
                <w:szCs w:val="17"/>
              </w:rPr>
              <w:t xml:space="preserve">PDF/A archival copy of one record</w:t>
            </w:r>
          </w:p>
        </w:tc>
        <w:tc>
          <w:tcPr>
            <w:tcW w:type="pct" w:w="26%"/>
            <w:tcMar>
              <w:top w:type="dxa" w:w="80"/>
              <w:left w:type="dxa" w:w="110"/>
              <w:bottom w:type="dxa" w:w="80"/>
              <w:right w:type="dxa" w:w="110"/>
            </w:tcMar>
          </w:tcPr>
          <w:p>
            <w:pPr>
              <w:spacing w:after="0"/>
            </w:pPr>
            <w:r>
              <w:rPr>
                <w:color w:val="475569"/>
                <w:sz w:val="17"/>
                <w:szCs w:val="17"/>
              </w:rPr>
              <w:t xml:space="preserve">one per frozen record, inside the archive</w:t>
            </w:r>
          </w:p>
        </w:tc>
        <w:tc>
          <w:tcPr>
            <w:tcW w:type="pct" w:w="14%"/>
            <w:tcMar>
              <w:top w:type="dxa" w:w="80"/>
              <w:left w:type="dxa" w:w="110"/>
              <w:bottom w:type="dxa" w:w="80"/>
              <w:right w:type="dxa" w:w="110"/>
            </w:tcMar>
          </w:tcPr>
          <w:p>
            <w:pPr>
              <w:spacing w:after="0"/>
            </w:pPr>
            <w:r>
              <w:rPr>
                <w:sz w:val="17"/>
                <w:szCs w:val="17"/>
              </w:rPr>
              <w:t xml:space="preserve">3.5 ms  (3.9 ms)</w:t>
            </w:r>
          </w:p>
        </w:tc>
        <w:tc>
          <w:tcPr>
            <w:tcW w:type="pct" w:w="14%"/>
            <w:tcMar>
              <w:top w:type="dxa" w:w="80"/>
              <w:left w:type="dxa" w:w="110"/>
              <w:bottom w:type="dxa" w:w="80"/>
              <w:right w:type="dxa" w:w="110"/>
            </w:tcMar>
          </w:tcPr>
          <w:p>
            <w:pPr>
              <w:spacing w:after="0"/>
            </w:pPr>
            <w:r>
              <w:rPr>
                <w:sz w:val="17"/>
                <w:szCs w:val="17"/>
              </w:rPr>
              <w:t xml:space="preserve">3.4 ms  (3.9 ms)</w:t>
            </w:r>
          </w:p>
        </w:tc>
        <w:tc>
          <w:tcPr>
            <w:tcW w:type="pct" w:w="14%"/>
            <w:tcMar>
              <w:top w:type="dxa" w:w="80"/>
              <w:left w:type="dxa" w:w="110"/>
              <w:bottom w:type="dxa" w:w="80"/>
              <w:right w:type="dxa" w:w="110"/>
            </w:tcMar>
          </w:tcPr>
          <w:p>
            <w:pPr>
              <w:spacing w:after="0"/>
            </w:pPr>
            <w:r>
              <w:rPr>
                <w:sz w:val="17"/>
                <w:szCs w:val="17"/>
              </w:rPr>
              <w:t xml:space="preserve">3.2 ms  (3.8 ms)</w:t>
            </w:r>
          </w:p>
        </w:tc>
      </w:tr>
      <w:tr>
        <w:tc>
          <w:tcPr>
            <w:tcW w:type="pct" w:w="30%"/>
            <w:tcMar>
              <w:top w:type="dxa" w:w="80"/>
              <w:left w:type="dxa" w:w="110"/>
              <w:bottom w:type="dxa" w:w="80"/>
              <w:right w:type="dxa" w:w="110"/>
            </w:tcMar>
          </w:tcPr>
          <w:p>
            <w:pPr>
              <w:spacing w:after="0"/>
            </w:pPr>
            <w:r>
              <w:rPr>
                <w:b/>
                <w:bCs/>
                <w:sz w:val="17"/>
                <w:szCs w:val="17"/>
              </w:rPr>
              <w:t xml:space="preserve">Full inspection archive</w:t>
            </w:r>
          </w:p>
        </w:tc>
        <w:tc>
          <w:tcPr>
            <w:tcW w:type="pct" w:w="26%"/>
            <w:tcMar>
              <w:top w:type="dxa" w:w="80"/>
              <w:left w:type="dxa" w:w="110"/>
              <w:bottom w:type="dxa" w:w="80"/>
              <w:right w:type="dxa" w:w="110"/>
            </w:tcMar>
          </w:tcPr>
          <w:p>
            <w:pPr>
              <w:spacing w:after="0"/>
            </w:pPr>
            <w:r>
              <w:rPr>
                <w:color w:val="475569"/>
                <w:sz w:val="17"/>
                <w:szCs w:val="17"/>
              </w:rPr>
              <w:t xml:space="preserve">on demand, for an auditor</w:t>
            </w:r>
          </w:p>
        </w:tc>
        <w:tc>
          <w:tcPr>
            <w:tcW w:type="pct" w:w="14%"/>
            <w:tcMar>
              <w:top w:type="dxa" w:w="80"/>
              <w:left w:type="dxa" w:w="110"/>
              <w:bottom w:type="dxa" w:w="80"/>
              <w:right w:type="dxa" w:w="110"/>
            </w:tcMar>
          </w:tcPr>
          <w:p>
            <w:pPr>
              <w:spacing w:after="0"/>
            </w:pPr>
            <w:r>
              <w:rPr>
                <w:sz w:val="17"/>
                <w:szCs w:val="17"/>
              </w:rPr>
              <w:t xml:space="preserve">119.4 ms  (119.4 ms)</w:t>
            </w:r>
          </w:p>
        </w:tc>
        <w:tc>
          <w:tcPr>
            <w:tcW w:type="pct" w:w="14%"/>
            <w:tcMar>
              <w:top w:type="dxa" w:w="80"/>
              <w:left w:type="dxa" w:w="110"/>
              <w:bottom w:type="dxa" w:w="80"/>
              <w:right w:type="dxa" w:w="110"/>
            </w:tcMar>
          </w:tcPr>
          <w:p>
            <w:pPr>
              <w:spacing w:after="0"/>
            </w:pPr>
            <w:r>
              <w:rPr>
                <w:sz w:val="17"/>
                <w:szCs w:val="17"/>
              </w:rPr>
              <w:t xml:space="preserve">457.3 ms  (457.3 ms)</w:t>
            </w:r>
          </w:p>
        </w:tc>
        <w:tc>
          <w:tcPr>
            <w:tcW w:type="pct" w:w="14%"/>
            <w:tcMar>
              <w:top w:type="dxa" w:w="80"/>
              <w:left w:type="dxa" w:w="110"/>
              <w:bottom w:type="dxa" w:w="80"/>
              <w:right w:type="dxa" w:w="110"/>
            </w:tcMar>
          </w:tcPr>
          <w:p>
            <w:pPr>
              <w:spacing w:after="0"/>
            </w:pPr>
            <w:r>
              <w:rPr>
                <w:sz w:val="17"/>
                <w:szCs w:val="17"/>
              </w:rPr>
              <w:t xml:space="preserve">1.94 s  (1.94 s)</w:t>
            </w:r>
          </w:p>
        </w:tc>
      </w:tr>
    </w:tbl>
    <w:p>
      <w:pPr>
        <w:spacing w:after="160"/>
      </w:pPr>
      <w:r>
        <w:rPr>
          <w:color w:val="475569"/>
          <w:sz w:val="17"/>
          <w:szCs w:val="17"/>
        </w:rPr>
        <w:t xml:space="preserve">What each scale represents: A, a design file in its first year; B, a mature programme, three years of operation; C, ten years of retention on a dense programme.</w:t>
      </w:r>
    </w:p>
    <w:p>
      <w:pPr>
        <w:pStyle w:val="Heading1"/>
        <w:spacing w:after="140" w:before="320"/>
      </w:pPr>
      <w:r>
        <w:t xml:space="preserve">4. What these figures say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pct" w:w="100%"/>
            <w:shd w:fill="FEF3C7"/>
            <w:tcMar>
              <w:top w:type="dxa" w:w="80"/>
              <w:left w:type="dxa" w:w="110"/>
              <w:bottom w:type="dxa" w:w="80"/>
              <w:right w:type="dxa" w:w="110"/>
            </w:tcMar>
          </w:tcPr>
          <w:p>
            <w:pPr>
              <w:spacing w:after="60"/>
            </w:pPr>
            <w:r>
              <w:rPr>
                <w:b/>
                <w:bCs/>
                <w:color w:val="92400E"/>
                <w:sz w:val="17"/>
                <w:szCs w:val="17"/>
              </w:rPr>
              <w:t xml:space="preserve">Key point</w:t>
            </w:r>
          </w:p>
          <w:p>
            <w:pPr>
              <w:spacing w:after="0"/>
            </w:pPr>
            <w:r>
              <w:rPr>
                <w:sz w:val="17"/>
                <w:szCs w:val="17"/>
              </w:rPr>
              <w:t xml:space="preserve">Audit chain verification is LINEAR, and the audit screen replays it IN FULL on every display: 15.7 ms for 1,031 entries, 749.9 ms for 50,143. With the display query, the page costs about 825 ms at the last step. It is the only point that degrades noticeably, and it is a deliberate choice: the chain is re-read in full so that the “chain intact” banner covers the whole trail, not just its tail.</w:t>
            </w:r>
          </w:p>
        </w:tc>
      </w:tr>
    </w:tbl>
    <w:p>
      <w:pPr>
        <w:spacing w:after="100"/>
      </w:pPr>
      <w:r>
        <w:rPr>
          <w:sz w:val="20"/>
          <w:szCs w:val="20"/>
        </w:rPr>
        <w:t xml:space="preserve"/>
      </w:r>
    </w:p>
    <w:p>
      <w:pPr>
        <w:spacing w:after="120"/>
      </w:pPr>
      <w:r>
        <w:rPr>
          <w:sz w:val="20"/>
          <w:szCs w:val="20"/>
        </w:rPr>
        <w:t xml:space="preserve">— WRITING DOES NOT DEGRADE. Appending an entry to the trail costs 2.3 ms on a fresh database and 2 ms on a trail of 50,143 entries. Chaining reads the head of the chain, not the chain: the cost is constant whatever the age of the installation.</w:t>
      </w:r>
    </w:p>
    <w:p>
      <w:pPr>
        <w:spacing w:after="120"/>
      </w:pPr>
      <w:r>
        <w:rPr>
          <w:sz w:val="20"/>
          <w:szCs w:val="20"/>
        </w:rPr>
        <w:t xml:space="preserve">— THE TRACEABILITY MATRIX FOLLOWS THE GRAPH, not the trail. It grows with the number of requirements, which is counted in hundreds and does not explode: it is a design file, not a log.</w:t>
      </w:r>
    </w:p>
    <w:p>
      <w:pPr>
        <w:spacing w:after="120"/>
      </w:pPr>
      <w:r>
        <w:rPr>
          <w:sz w:val="20"/>
          <w:szCs w:val="20"/>
        </w:rPr>
        <w:t xml:space="preserve">— THE INSPECTION ARCHIVE is the most expensive operation in absolute terms (1.94 s at the last step), and that is of no consequence: it is triggered on demand, for an auditor, once per inspection campaign — not on every click.</w:t>
      </w:r>
    </w:p>
    <w:p>
      <w:pPr>
        <w:spacing w:after="120"/>
      </w:pPr>
      <w:r>
        <w:rPr>
          <w:sz w:val="20"/>
          <w:szCs w:val="20"/>
        </w:rPr>
        <w:t xml:space="preserve">— THE PDF/A ARCHIVAL COPY DOES NOT COST WHAT ONE MIGHT THINK. It is produced once per frozen record, in 3.2 ms, and that cost does not move with the size of the database: it depends on the document's size, not on the age of the installation. Across 200 documents it did not change the archive's order of magnitude — the spread between two successive archive runs is of the same order as what it adds.</w:t>
      </w:r>
    </w:p>
    <w:p>
      <w:pPr>
        <w:pStyle w:val="Heading1"/>
        <w:spacing w:after="140" w:before="320"/>
      </w:pPr>
      <w:r>
        <w:t xml:space="preserve">5. Declared operating limits</w:t>
      </w:r>
    </w:p>
    <w:p>
      <w:pPr>
        <w:spacing w:after="160"/>
      </w:pPr>
      <w:r>
        <w:rPr>
          <w:sz w:val="20"/>
          <w:szCs w:val="20"/>
        </w:rPr>
        <w:t xml:space="preserve">The software was measured up to 50,143 audit trail entries, 800 requirements and 200 documents. Within that domain, no operation exceeded 1.94 s. Beyond it, behaviour is not characterised: it is expected to stay linear for chain verification, but an expectation is not a measurement.</w:t>
      </w:r>
    </w:p>
    <w:p>
      <w:pPr>
        <w:pStyle w:val="Heading1"/>
        <w:spacing w:after="140" w:before="320"/>
      </w:pPr>
      <w:r>
        <w:t xml:space="preserve">6. What is NOT measured</w:t>
      </w:r>
    </w:p>
    <w:p>
      <w:pPr>
        <w:spacing w:after="120"/>
      </w:pPr>
      <w:r>
        <w:rPr>
          <w:sz w:val="20"/>
          <w:szCs w:val="20"/>
        </w:rPr>
        <w:t xml:space="preserve">— CONCURRENT USERS. All measurements are sequential, single process. SQLite admits only one writer at a time: two signatures applied in the same second wait for each other. That behaviour is not characterised here, and it is the first thing to exercise in your PQ if you expect more than a handful of simultaneously active users.</w:t>
      </w:r>
    </w:p>
    <w:p>
      <w:pPr>
        <w:spacing w:after="120"/>
      </w:pPr>
      <w:r>
        <w:rPr>
          <w:sz w:val="20"/>
          <w:szCs w:val="20"/>
        </w:rPr>
        <w:t xml:space="preserve">— NETWORK AND BROWSER. The figures are the server's. The time perceived by the user adds transport and rendering, which depend on your infrastructure and their workstation.</w:t>
      </w:r>
    </w:p>
    <w:p>
      <w:pPr>
        <w:spacing w:after="120"/>
      </w:pPr>
      <w:r>
        <w:rPr>
          <w:sz w:val="20"/>
          <w:szCs w:val="20"/>
        </w:rPr>
        <w:t xml:space="preserve">— ANOTHER DATABASE ENGINE. The measurements bear on SQLite, shipped with the product. A deployment on another engine would fall outside this domain.</w:t>
      </w:r>
    </w:p>
    <w:p>
      <w:pPr>
        <w:spacing w:after="120"/>
      </w:pPr>
      <w:r>
        <w:rPr>
          <w:sz w:val="20"/>
          <w:szCs w:val="20"/>
        </w:rPr>
        <w:t xml:space="preserve">— ATTACHMENT SIZE. The frozen documents in the campaign are a few kilobytes. An installation retaining large data sets will see the archive grow with them, in proportion to the bytes re-read.</w:t>
      </w:r>
    </w:p>
    <w:p>
      <w:pPr>
        <w:spacing w:after="200"/>
      </w:pPr>
      <w:r>
        <w:rPr>
          <w:i/>
          <w:iCs/>
          <w:color w:val="475569"/>
          <w:sz w:val="17"/>
          <w:szCs w:val="17"/>
        </w:rPr>
        <w:t xml:space="preserve">To reproduce the campaign on your side: `npm run charge -- --complet` from the sources, or ask us to replay it on the version you are evaluating. The script writes its own results file, and this note is regenerated from it — no figure in it is typed by hand.</w:t>
      </w:r>
    </w:p>
    <w:sectPr>
      <w:headerReference w:type="default" r:id="rId7"/>
      <w:footerReference w:type="default" r:id="rId8"/>
      <w:pgSz w:w="11906" w:h="16838" w:orient="portrait"/>
      <w:pgMar w:top="900" w:right="800" w:bottom="900" w:left="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75569"/>
        <w:sz w:val="15"/>
        <w:szCs w:val="15"/>
      </w:rPr>
      <w:t xml:space="preserve">Page </w:t>
    </w:r>
    <w:r>
      <w:rPr>
        <w:color w:val="475569"/>
        <w:sz w:val="15"/>
        <w:szCs w:val="15"/>
      </w:rPr>
      <w:fldChar w:fldCharType="begin"/>
      <w:instrText xml:space="preserve">PAGE</w:instrText>
      <w:fldChar w:fldCharType="separate"/>
      <w:fldChar w:fldCharType="end"/>
    </w:r>
    <w:r>
      <w:rPr>
        <w:color w:val="475569"/>
        <w:sz w:val="15"/>
        <w:szCs w:val="15"/>
      </w:rPr>
      <w:t xml:space="preserve"> of </w:t>
    </w:r>
    <w:r>
      <w:rPr>
        <w:color w:val="475569"/>
        <w:sz w:val="15"/>
        <w:szCs w:val="15"/>
      </w:rPr>
      <w:fldChar w:fldCharType="begin"/>
      <w:instrText xml:space="preserve">NUMPAGES</w:instrText>
      <w:fldChar w:fldCharType="separate"/>
      <w:fldChar w:fldCharType="end"/>
    </w:r>
    <w:r>
      <w:rPr>
        <w:color w:val="475569"/>
        <w:sz w:val="15"/>
        <w:szCs w:val="15"/>
      </w:rPr>
      <w:t xml:space="preserve">   ·   Measurements of 2026-08-06, version 1.2.1. Regenerated from resultats-charge.json.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color w:val="475569"/>
        <w:sz w:val="15"/>
        <w:szCs w:val="15"/>
      </w:rPr>
      <w:t xml:space="preserve">Filum — Load behaviour note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40" w:before="320"/>
    </w:pPr>
    <w:rPr>
      <w:rFonts w:ascii="Calibri" w:cs="Calibri" w:eastAsia="Calibri" w:hAnsi="Calibri"/>
      <w:b/>
      <w:bCs/>
      <w:color w:val="4338C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2026-10-01T11:27:33.043Z</dcterms:created>
  <dcterms:modified xsi:type="dcterms:W3CDTF">2026-10-01T11:27:33.043Z</dcterms:modified>
</cp:coreProperties>
</file>

<file path=docProps/custom.xml><?xml version="1.0" encoding="utf-8"?>
<Properties xmlns="http://schemas.openxmlformats.org/officeDocument/2006/custom-properties" xmlns:vt="http://schemas.openxmlformats.org/officeDocument/2006/docPropsVTypes"/>
</file>