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600"/>
        <w:jc w:val="center"/>
      </w:pPr>
      <w:r>
        <w:rPr>
          <w:b/>
          <w:bCs/>
          <w:color w:val="4338CA"/>
          <w:sz w:val="44"/>
          <w:szCs w:val="44"/>
        </w:rPr>
        <w:t xml:space="preserve">Filum</w:t>
      </w:r>
    </w:p>
    <w:p>
      <w:pPr>
        <w:spacing w:after="60"/>
        <w:jc w:val="center"/>
      </w:pPr>
      <w:r>
        <w:rPr>
          <w:b/>
          <w:bCs/>
          <w:sz w:val="32"/>
          <w:szCs w:val="32"/>
        </w:rPr>
        <w:t xml:space="preserve">What the software does, and what it does not</w:t>
      </w:r>
    </w:p>
    <w:p>
      <w:pPr>
        <w:spacing w:after="400"/>
        <w:jc w:val="center"/>
      </w:pPr>
      <w:r>
        <w:rPr>
          <w:i/>
          <w:iCs/>
          <w:color w:val="475569"/>
          <w:sz w:val="22"/>
          <w:szCs w:val="22"/>
        </w:rPr>
        <w:t xml:space="preserve">To read before the demonstration — including to conclude that this is not for you</w:t>
      </w:r>
    </w:p>
    <w:p>
      <w:pPr>
        <w:spacing w:after="200"/>
      </w:pPr>
      <w:r>
        <w:rPr>
          <w:sz w:val="20"/>
          <w:szCs w:val="20"/>
        </w:rPr>
        <w:t xml:space="preserve">A demonstration given to somebody who was looking for something else costs two hours on both sides and leaves a bad taste. This document exists to avoid that. Everything under “what is in place” can be shown on screen in under a minute; everything under “what does not exist” is true as of 1 October 2026, with no “coming soon” and no “on the roadmap”.</w:t>
      </w:r>
    </w:p>
    <w:p>
      <w:pPr>
        <w:pStyle w:val="Heading1"/>
        <w:spacing w:after="140" w:before="320"/>
      </w:pPr>
      <w:r>
        <w:t xml:space="preserve">1. Filum in one sentence</w:t>
      </w:r>
    </w:p>
    <w:p>
      <w:pPr>
        <w:spacing w:after="180"/>
      </w:pPr>
      <w:r>
        <w:rPr>
          <w:b/>
          <w:bCs/>
          <w:sz w:val="20"/>
          <w:szCs w:val="20"/>
        </w:rPr>
        <w:t xml:space="preserve">Filum connects user needs, requirements, specifications, tests, evidence and risks into a single graph, and projects regulatory documents from that graph. The document is not the data: you enter the link once, and everything that depends on it follows.</w:t>
      </w:r>
    </w:p>
    <w:p>
      <w:pPr>
        <w:pStyle w:val="Heading1"/>
        <w:spacing w:after="140" w:before="320"/>
      </w:pPr>
      <w:r>
        <w:t xml:space="preserve">2. What is in place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2%"/>
            <w:shd w:fill="E0E7FF"/>
            <w:tcMar>
              <w:top w:type="dxa" w:w="80"/>
              <w:left w:type="dxa" w:w="110"/>
              <w:bottom w:type="dxa" w:w="80"/>
              <w:right w:type="dxa" w:w="110"/>
            </w:tcMar>
          </w:tcPr>
          <w:p>
            <w:pPr>
              <w:spacing w:after="0"/>
            </w:pPr>
            <w:r>
              <w:rPr>
                <w:b/>
                <w:bCs/>
                <w:sz w:val="17"/>
                <w:szCs w:val="17"/>
              </w:rPr>
              <w:t xml:space="preserve">Area</w:t>
            </w:r>
          </w:p>
        </w:tc>
        <w:tc>
          <w:tcPr>
            <w:tcW w:type="pct" w:w="78%"/>
            <w:shd w:fill="E0E7FF"/>
            <w:tcMar>
              <w:top w:type="dxa" w:w="80"/>
              <w:left w:type="dxa" w:w="110"/>
              <w:bottom w:type="dxa" w:w="80"/>
              <w:right w:type="dxa" w:w="110"/>
            </w:tcMar>
          </w:tcPr>
          <w:p>
            <w:pPr>
              <w:spacing w:after="0"/>
            </w:pPr>
            <w:r>
              <w:rPr>
                <w:b/>
                <w:bCs/>
                <w:sz w:val="17"/>
                <w:szCs w:val="17"/>
              </w:rPr>
              <w:t xml:space="preserve">What the software does today</w:t>
            </w:r>
          </w:p>
        </w:tc>
      </w:tr>
      <w:tr>
        <w:tc>
          <w:tcPr>
            <w:tcW w:type="pct" w:w="22%"/>
            <w:shd w:fill="F8FAFC"/>
            <w:tcMar>
              <w:top w:type="dxa" w:w="80"/>
              <w:left w:type="dxa" w:w="110"/>
              <w:bottom w:type="dxa" w:w="80"/>
              <w:right w:type="dxa" w:w="110"/>
            </w:tcMar>
          </w:tcPr>
          <w:p>
            <w:pPr>
              <w:spacing w:after="0"/>
            </w:pPr>
            <w:r>
              <w:rPr>
                <w:b/>
                <w:bCs/>
                <w:sz w:val="17"/>
                <w:szCs w:val="17"/>
              </w:rPr>
              <w:t xml:space="preserve">Traceability</w:t>
            </w:r>
          </w:p>
        </w:tc>
        <w:tc>
          <w:tcPr>
            <w:tcW w:type="pct" w:w="78%"/>
            <w:tcMar>
              <w:top w:type="dxa" w:w="80"/>
              <w:left w:type="dxa" w:w="110"/>
              <w:bottom w:type="dxa" w:w="80"/>
              <w:right w:type="dxa" w:w="110"/>
            </w:tcMar>
          </w:tcPr>
          <w:p>
            <w:pPr>
              <w:spacing w:after="0"/>
            </w:pPr>
            <w:r>
              <w:rPr>
                <w:sz w:val="17"/>
                <w:szCs w:val="17"/>
              </w:rPr>
              <w:t xml:space="preserve">Bidirectional graph need → requirement → specification → test → evidence, with ISO 14971 risk running across it. System → subsystem requirement hierarchy in an N–M relation. Traceability matrix generated and never stale, exportable to CSV. Upstream and downstream impact analysis on any item. Verification coverage recomputed continuously.</w:t>
            </w:r>
          </w:p>
        </w:tc>
      </w:tr>
      <w:tr>
        <w:tc>
          <w:tcPr>
            <w:tcW w:type="pct" w:w="22%"/>
            <w:shd w:fill="F8FAFC"/>
            <w:tcMar>
              <w:top w:type="dxa" w:w="80"/>
              <w:left w:type="dxa" w:w="110"/>
              <w:bottom w:type="dxa" w:w="80"/>
              <w:right w:type="dxa" w:w="110"/>
            </w:tcMar>
          </w:tcPr>
          <w:p>
            <w:pPr>
              <w:spacing w:after="0"/>
            </w:pPr>
            <w:r>
              <w:rPr>
                <w:b/>
                <w:bCs/>
                <w:sz w:val="17"/>
                <w:szCs w:val="17"/>
              </w:rPr>
              <w:t xml:space="preserve">Statement quality</w:t>
            </w:r>
          </w:p>
        </w:tc>
        <w:tc>
          <w:tcPr>
            <w:tcW w:type="pct" w:w="78%"/>
            <w:tcMar>
              <w:top w:type="dxa" w:w="80"/>
              <w:left w:type="dxa" w:w="110"/>
              <w:bottom w:type="dxa" w:w="80"/>
              <w:right w:type="dxa" w:w="110"/>
            </w:tcMar>
          </w:tcPr>
          <w:p>
            <w:pPr>
              <w:spacing w:after="0"/>
            </w:pPr>
            <w:r>
              <w:rPr>
                <w:sz w:val="17"/>
                <w:szCs w:val="17"/>
              </w:rPr>
              <w:t xml:space="preserve">Eleven checks run under the statement field, on every keystroke: missing or weakened obligation verb, several requirements in one, unmeasurable term, escape clause, open-ended list, comparison without a value, value without tolerance, passive voice without an actor, negative requirement, over-long statement. Each finding QUOTES the exact fragment of your sentence, says why it is a problem and proposes the action. The EARS pattern is recognised — ubiquitous, event-driven, state-driven, unwanted behaviour, optional feature — and the five templates unfold with an example. All of this runs WITHOUT an API key, without network, identically from one machine to another: that is what makes it qualifiable, and a qualification case exercises it on eleven faulty and five correct statements. If your organisation has configured an Anthropic key, an EARS rewrite can be requested in addition; the model is forbidden to invent a value, a unit or a component absent from the original — it leaves a placeholder to fill. Nothing is written in your place, and no finding prevents saving.</w:t>
            </w:r>
          </w:p>
        </w:tc>
      </w:tr>
      <w:tr>
        <w:tc>
          <w:tcPr>
            <w:tcW w:type="pct" w:w="22%"/>
            <w:shd w:fill="F8FAFC"/>
            <w:tcMar>
              <w:top w:type="dxa" w:w="80"/>
              <w:left w:type="dxa" w:w="110"/>
              <w:bottom w:type="dxa" w:w="80"/>
              <w:right w:type="dxa" w:w="110"/>
            </w:tcMar>
          </w:tcPr>
          <w:p>
            <w:pPr>
              <w:spacing w:after="0"/>
            </w:pPr>
            <w:r>
              <w:rPr>
                <w:b/>
                <w:bCs/>
                <w:sz w:val="17"/>
                <w:szCs w:val="17"/>
              </w:rPr>
              <w:t xml:space="preserve">Document control</w:t>
            </w:r>
          </w:p>
        </w:tc>
        <w:tc>
          <w:tcPr>
            <w:tcW w:type="pct" w:w="78%"/>
            <w:tcMar>
              <w:top w:type="dxa" w:w="80"/>
              <w:left w:type="dxa" w:w="110"/>
              <w:bottom w:type="dxa" w:w="80"/>
              <w:right w:type="dxa" w:w="110"/>
            </w:tcMar>
          </w:tcPr>
          <w:p>
            <w:pPr>
              <w:spacing w:after="0"/>
            </w:pPr>
            <w:r>
              <w:rPr>
                <w:sz w:val="17"/>
                <w:szCs w:val="17"/>
              </w:rPr>
              <w:t xml:space="preserve">Draft → Review → Released lifecycle enforced server-side. Content is FROZEN when the document enters review, not at release. Revisions with mandatory justification. Review comments block release until resolved. Documents generated as .docx: design reports, test reports, DHF, risk management file, nonconformity records, CAPA reports.</w:t>
            </w:r>
          </w:p>
        </w:tc>
      </w:tr>
      <w:tr>
        <w:tc>
          <w:tcPr>
            <w:tcW w:type="pct" w:w="22%"/>
            <w:shd w:fill="F8FAFC"/>
            <w:tcMar>
              <w:top w:type="dxa" w:w="80"/>
              <w:left w:type="dxa" w:w="110"/>
              <w:bottom w:type="dxa" w:w="80"/>
              <w:right w:type="dxa" w:w="110"/>
            </w:tcMar>
          </w:tcPr>
          <w:p>
            <w:pPr>
              <w:spacing w:after="0"/>
            </w:pPr>
            <w:r>
              <w:rPr>
                <w:b/>
                <w:bCs/>
                <w:sz w:val="17"/>
                <w:szCs w:val="17"/>
              </w:rPr>
              <w:t xml:space="preserve">Electronic signature</w:t>
            </w:r>
          </w:p>
        </w:tc>
        <w:tc>
          <w:tcPr>
            <w:tcW w:type="pct" w:w="78%"/>
            <w:tcMar>
              <w:top w:type="dxa" w:w="80"/>
              <w:left w:type="dxa" w:w="110"/>
              <w:bottom w:type="dxa" w:w="80"/>
              <w:right w:type="dxa" w:w="110"/>
            </w:tcMar>
          </w:tcPr>
          <w:p>
            <w:pPr>
              <w:spacing w:after="0"/>
            </w:pPr>
            <w:r>
              <w:rPr>
                <w:sz w:val="17"/>
                <w:szCs w:val="17"/>
              </w:rPr>
              <w:t xml:space="preserve">Two components required at EVERY signature (authenticated session + password re-entry). Human-readable manifestation carrying the frozen printed name, the meaning, the UTC timestamp and the fingerprint of the attested content. Only the designated signer can sign. Account lockout after a failure count configurable at install time, five by default.</w:t>
            </w:r>
          </w:p>
        </w:tc>
      </w:tr>
      <w:tr>
        <w:tc>
          <w:tcPr>
            <w:tcW w:type="pct" w:w="22%"/>
            <w:shd w:fill="F8FAFC"/>
            <w:tcMar>
              <w:top w:type="dxa" w:w="80"/>
              <w:left w:type="dxa" w:w="110"/>
              <w:bottom w:type="dxa" w:w="80"/>
              <w:right w:type="dxa" w:w="110"/>
            </w:tcMar>
          </w:tcPr>
          <w:p>
            <w:pPr>
              <w:spacing w:after="0"/>
            </w:pPr>
            <w:r>
              <w:rPr>
                <w:b/>
                <w:bCs/>
                <w:sz w:val="17"/>
                <w:szCs w:val="17"/>
              </w:rPr>
              <w:t xml:space="preserve">ISO 14971 risk</w:t>
            </w:r>
          </w:p>
        </w:tc>
        <w:tc>
          <w:tcPr>
            <w:tcW w:type="pct" w:w="78%"/>
            <w:tcMar>
              <w:top w:type="dxa" w:w="80"/>
              <w:left w:type="dxa" w:w="110"/>
              <w:bottom w:type="dxa" w:w="80"/>
              <w:right w:type="dxa" w:w="110"/>
            </w:tcMar>
          </w:tcPr>
          <w:p>
            <w:pPr>
              <w:spacing w:after="0"/>
            </w:pPr>
            <w:r>
              <w:rPr>
                <w:sz w:val="17"/>
                <w:szCs w:val="17"/>
              </w:rPr>
              <w:t xml:space="preserve">FMEA register (hazard → hazardous situation → harm), 5×5 matrix with Acceptable / ALARP / Unacceptable zones, initial versus residual risk, hazard library. A control counts as “verified” only when the specifications and tests carrying it are closed favourably — the graph says so, not a checkbox.</w:t>
            </w:r>
          </w:p>
        </w:tc>
      </w:tr>
      <w:tr>
        <w:tc>
          <w:tcPr>
            <w:tcW w:type="pct" w:w="22%"/>
            <w:shd w:fill="F8FAFC"/>
            <w:tcMar>
              <w:top w:type="dxa" w:w="80"/>
              <w:left w:type="dxa" w:w="110"/>
              <w:bottom w:type="dxa" w:w="80"/>
              <w:right w:type="dxa" w:w="110"/>
            </w:tcMar>
          </w:tcPr>
          <w:p>
            <w:pPr>
              <w:spacing w:after="0"/>
            </w:pPr>
            <w:r>
              <w:rPr>
                <w:b/>
                <w:bCs/>
                <w:sz w:val="17"/>
                <w:szCs w:val="17"/>
              </w:rPr>
              <w:t xml:space="preserve">IVD method validation</w:t>
            </w:r>
          </w:p>
        </w:tc>
        <w:tc>
          <w:tcPr>
            <w:tcW w:type="pct" w:w="78%"/>
            <w:tcMar>
              <w:top w:type="dxa" w:w="80"/>
              <w:left w:type="dxa" w:w="110"/>
              <w:bottom w:type="dxa" w:w="80"/>
              <w:right w:type="dxa" w:w="110"/>
            </w:tcMar>
          </w:tcPr>
          <w:p>
            <w:pPr>
              <w:spacing w:after="0"/>
            </w:pPr>
            <w:r>
              <w:rPr>
                <w:sz w:val="17"/>
                <w:szCs w:val="17"/>
              </w:rPr>
              <w:t xml:space="preserve">Six CLSI protocols computed internally, no spreadsheet: EP05 precision (nested ANOVA), EP06 linearity, EP09 method comparison (Passing-Bablok, Deming, Bland-Altman), EP17 LoB/LoD/LoQ, EP25 stability, EP26 lot-to-lot. Pass / fail verdict against an a priori criterion. Every study files its evidence into the matrix.</w:t>
            </w:r>
          </w:p>
        </w:tc>
      </w:tr>
      <w:tr>
        <w:tc>
          <w:tcPr>
            <w:tcW w:type="pct" w:w="22%"/>
            <w:shd w:fill="F8FAFC"/>
            <w:tcMar>
              <w:top w:type="dxa" w:w="80"/>
              <w:left w:type="dxa" w:w="110"/>
              <w:bottom w:type="dxa" w:w="80"/>
              <w:right w:type="dxa" w:w="110"/>
            </w:tcMar>
          </w:tcPr>
          <w:p>
            <w:pPr>
              <w:spacing w:after="0"/>
            </w:pPr>
            <w:r>
              <w:rPr>
                <w:b/>
                <w:bCs/>
                <w:sz w:val="17"/>
                <w:szCs w:val="17"/>
              </w:rPr>
              <w:t xml:space="preserve">Nonconformities and CAPA</w:t>
            </w:r>
          </w:p>
        </w:tc>
        <w:tc>
          <w:tcPr>
            <w:tcW w:type="pct" w:w="78%"/>
            <w:tcMar>
              <w:top w:type="dxa" w:w="80"/>
              <w:left w:type="dxa" w:w="110"/>
              <w:bottom w:type="dxa" w:w="80"/>
              <w:right w:type="dxa" w:w="110"/>
            </w:tcMar>
          </w:tcPr>
          <w:p>
            <w:pPr>
              <w:spacing w:after="0"/>
            </w:pPr>
            <w:r>
              <w:rPr>
                <w:sz w:val="17"/>
                <w:szCs w:val="17"/>
              </w:rPr>
              <w:t xml:space="preserve">Lifecycles locked server-side. No action plan without a root cause; no CAPA closure without effectiveness demonstrated by a re-run test that passes. On closure the feedback is automatic: failing specification turned back to OK, nonconformities closed, residual risk re-assessed.</w:t>
            </w:r>
          </w:p>
        </w:tc>
      </w:tr>
      <w:tr>
        <w:tc>
          <w:tcPr>
            <w:tcW w:type="pct" w:w="22%"/>
            <w:shd w:fill="F8FAFC"/>
            <w:tcMar>
              <w:top w:type="dxa" w:w="80"/>
              <w:left w:type="dxa" w:w="110"/>
              <w:bottom w:type="dxa" w:w="80"/>
              <w:right w:type="dxa" w:w="110"/>
            </w:tcMar>
          </w:tcPr>
          <w:p>
            <w:pPr>
              <w:spacing w:after="0"/>
            </w:pPr>
            <w:r>
              <w:rPr>
                <w:b/>
                <w:bCs/>
                <w:sz w:val="17"/>
                <w:szCs w:val="17"/>
              </w:rPr>
              <w:t xml:space="preserve">Technical file</w:t>
            </w:r>
          </w:p>
        </w:tc>
        <w:tc>
          <w:tcPr>
            <w:tcW w:type="pct" w:w="78%"/>
            <w:tcMar>
              <w:top w:type="dxa" w:w="80"/>
              <w:left w:type="dxa" w:w="110"/>
              <w:bottom w:type="dxa" w:w="80"/>
              <w:right w:type="dxa" w:w="110"/>
            </w:tcMar>
          </w:tcPr>
          <w:p>
            <w:pPr>
              <w:spacing w:after="0"/>
            </w:pPr>
            <w:r>
              <w:rPr>
                <w:sz w:val="17"/>
                <w:szCs w:val="17"/>
              </w:rPr>
              <w:t xml:space="preserve">One technical file per programme, in a single download. It indexes what Filum holds against the 50 items of the diagnostic referential — the SAME one as the frame supplied ahead of a mission — each linked to its ISO 13485 clause, its 21 CFR 820.30 reference and its Annex II section. Each line states what is covered, what is partial, what is missing, and what must come from your quality system. NO STATUS IS TYPED IN: they are derived from the graph at the moment of export, and change when the graph changes. The package carries the design files compiled per activity, the frozen records of released documents, the traceability matrix and the digests of every file. It is NOT a complete technical file, and its cover note says so: labelling, instructions for use, manufacturing specifications, design transfer, clinical evaluation and post-market surveillance do not exist in a design tool — fifteen of the fifty items are therefore named as out of scope, with the source they must come from. Leaving them out would produce an index that looks complete and a file that is not.</w:t>
            </w:r>
          </w:p>
        </w:tc>
      </w:tr>
      <w:tr>
        <w:tc>
          <w:tcPr>
            <w:tcW w:type="pct" w:w="22%"/>
            <w:shd w:fill="F8FAFC"/>
            <w:tcMar>
              <w:top w:type="dxa" w:w="80"/>
              <w:left w:type="dxa" w:w="110"/>
              <w:bottom w:type="dxa" w:w="80"/>
              <w:right w:type="dxa" w:w="110"/>
            </w:tcMar>
          </w:tcPr>
          <w:p>
            <w:pPr>
              <w:spacing w:after="0"/>
            </w:pPr>
            <w:r>
              <w:rPr>
                <w:b/>
                <w:bCs/>
                <w:sz w:val="17"/>
                <w:szCs w:val="17"/>
              </w:rPr>
              <w:t xml:space="preserve">Software compliance</w:t>
            </w:r>
          </w:p>
        </w:tc>
        <w:tc>
          <w:tcPr>
            <w:tcW w:type="pct" w:w="78%"/>
            <w:tcMar>
              <w:top w:type="dxa" w:w="80"/>
              <w:left w:type="dxa" w:w="110"/>
              <w:bottom w:type="dxa" w:w="80"/>
              <w:right w:type="dxa" w:w="110"/>
            </w:tcMar>
          </w:tcPr>
          <w:p>
            <w:pPr>
              <w:spacing w:after="0"/>
            </w:pPr>
            <w:r>
              <w:rPr>
                <w:sz w:val="17"/>
                <w:szCs w:val="17"/>
              </w:rPr>
              <w:t xml:space="preserve">PDF/A-2b archival copy of every frozen record inside the inspection archive — embedded font and colour profile, it reads without office software and carries the digests of the authoritative .docx. Append-only, CHAINED and BILINGUAL audit trail: every entry carries the fingerprint of the previous one — verification names the rank where a chain breaks — and its message key, so that it reads back in French or in English without ever being rewritten. The trail is furthermore REVIEWED periodically, and the review is a signed record: each review covers a range of RANKS — never dates — and starts exactly at the rank following the previous one, so no entry can be written into the gap between two reviews; the distance between the last covered rank and the trail head is shown permanently, and any coverage gap is computed. Inspection archive verifiable without Filum. Archive anchor counter-signed by the RFC 3161 timestamping authority of your choice. Declared retention period, legal hold blocking deletions. Token-based password reset: nobody sets someone else's password.</w:t>
            </w:r>
          </w:p>
        </w:tc>
      </w:tr>
      <w:tr>
        <w:tc>
          <w:tcPr>
            <w:tcW w:type="pct" w:w="22%"/>
            <w:shd w:fill="F8FAFC"/>
            <w:tcMar>
              <w:top w:type="dxa" w:w="80"/>
              <w:left w:type="dxa" w:w="110"/>
              <w:bottom w:type="dxa" w:w="80"/>
              <w:right w:type="dxa" w:w="110"/>
            </w:tcMar>
          </w:tcPr>
          <w:p>
            <w:pPr>
              <w:spacing w:after="0"/>
            </w:pPr>
            <w:r>
              <w:rPr>
                <w:b/>
                <w:bCs/>
                <w:sz w:val="17"/>
                <w:szCs w:val="17"/>
              </w:rPr>
              <w:t xml:space="preserve">Migrating your data</w:t>
            </w:r>
          </w:p>
        </w:tc>
        <w:tc>
          <w:tcPr>
            <w:tcW w:type="pct" w:w="78%"/>
            <w:tcMar>
              <w:top w:type="dxa" w:w="80"/>
              <w:left w:type="dxa" w:w="110"/>
              <w:bottom w:type="dxa" w:w="80"/>
              <w:right w:type="dxa" w:w="110"/>
            </w:tcMar>
          </w:tcPr>
          <w:p>
            <w:pPr>
              <w:spacing w:after="0"/>
            </w:pPr>
            <w:r>
              <w:rPr>
                <w:sz w:val="17"/>
                <w:szCs w:val="17"/>
              </w:rPr>
              <w:t xml:space="preserve">Drop an .xlsx workbook or a .docx document AS IT IS: Filum finds the tables in it, you pick the one to import, then you say which column means what. Your headings stay yours — “Req ID”, “Crit.”, “Functional description” — automatic recognition offers what it knows, you assign the rest, and nothing is guessed in silence. Empty cells keep their position: a rationale cannot slide into the subsystem column. Values are mapped back to Filum's vocabulary whatever the file's language — “Haute” becomes “High” — and an unknown value is reported rather than stored. Fixed-template CSV import remains available for five types: user needs, requirements, specifications, risks, test protocols. Links resolve by YOUR codes, requirement hierarchy included (cycles detected). Mandatory dry run before any write: what would be created, updated, rejected — and why, line by line.</w:t>
            </w:r>
          </w:p>
        </w:tc>
      </w:tr>
      <w:tr>
        <w:tc>
          <w:tcPr>
            <w:tcW w:type="pct" w:w="22%"/>
            <w:shd w:fill="F8FAFC"/>
            <w:tcMar>
              <w:top w:type="dxa" w:w="80"/>
              <w:left w:type="dxa" w:w="110"/>
              <w:bottom w:type="dxa" w:w="80"/>
              <w:right w:type="dxa" w:w="110"/>
            </w:tcMar>
          </w:tcPr>
          <w:p>
            <w:pPr>
              <w:spacing w:after="0"/>
            </w:pPr>
            <w:r>
              <w:rPr>
                <w:b/>
                <w:bCs/>
                <w:sz w:val="17"/>
                <w:szCs w:val="17"/>
              </w:rPr>
              <w:t xml:space="preserve">Operations</w:t>
            </w:r>
          </w:p>
        </w:tc>
        <w:tc>
          <w:tcPr>
            <w:tcW w:type="pct" w:w="78%"/>
            <w:tcMar>
              <w:top w:type="dxa" w:w="80"/>
              <w:left w:type="dxa" w:w="110"/>
              <w:bottom w:type="dxa" w:w="80"/>
              <w:right w:type="dxa" w:w="110"/>
            </w:tcMar>
          </w:tcPr>
          <w:p>
            <w:pPr>
              <w:spacing w:after="0"/>
            </w:pPr>
            <w:r>
              <w:rPr>
                <w:sz w:val="17"/>
                <w:szCs w:val="17"/>
              </w:rPr>
              <w:t xml:space="preserve">Self-hosted Docker image, single-file database, separate file volume. French / English interface. Four roles enforced server-side. Drafting assistant running on YOUR Anthropic key, under four guardrails. Validation pack delivered: IQ protocol, validation file, replayable qualification cases. The database uses WAL journalling: reads no longer block writes, and continuous replication becomes possible. The cold backup remains the reference — it stops the service and copies both volumes at the same instant, so it is consistent by construction. A continuous database replication option is DOCUMENTED, with the rule that makes it safe: it replicates the database only, and frozen records live in the second volume; since that volume is APPEND-ONLY, it is enough to restore the files to an instant at or after the database — files ahead are merely orphans. A command re-reads every piece the database references and distinguishes an absent piece from a tampered one, the two being repaired differently.</w:t>
            </w:r>
          </w:p>
        </w:tc>
      </w:tr>
    </w:tbl>
    <w:p>
      <w:pPr>
        <w:pStyle w:val="Heading1"/>
        <w:spacing w:after="140" w:before="320"/>
      </w:pPr>
      <w:r>
        <w:t xml:space="preserve">3. What does not exist</w:t>
      </w:r>
    </w:p>
    <w:p>
      <w:pPr>
        <w:spacing w:after="160"/>
      </w:pPr>
      <w:r>
        <w:rPr>
          <w:color w:val="475569"/>
          <w:sz w:val="20"/>
          <w:szCs w:val="20"/>
        </w:rPr>
        <w:t xml:space="preserve">None of these lines comes with a delivery date — we do not sell what does not exist. If one of them is a firm requirement on your side, say so: that is a legitimate reason not to go further, and it is better known now.</w:t>
      </w:r>
    </w:p>
    <w:p>
      <w:pPr>
        <w:spacing w:after="40"/>
      </w:pPr>
      <w:r>
        <w:rPr>
          <w:b/>
          <w:bCs/>
          <w:color w:val="B91C1C"/>
          <w:sz w:val="20"/>
          <w:szCs w:val="20"/>
        </w:rPr>
        <w:t xml:space="preserve">This is not an eQMS</w:t>
      </w:r>
    </w:p>
    <w:p>
      <w:pPr>
        <w:spacing w:after="150"/>
      </w:pPr>
      <w:r>
        <w:rPr>
          <w:sz w:val="20"/>
          <w:szCs w:val="20"/>
        </w:rPr>
        <w:t xml:space="preserve">No training records, no supplier qualification, no complaint handling or vigilance, no internal audits, no management review.
A QUALIFICATION ABOUT PROCEDURES, because a flat “no” would be false: a procedure lives in Filum as a controlled document. The Draft → Review → Released cycle, content freezing at review, two-component signature, revision with justification, audit trail and PDF/A archival copy do not depend on the document type. To these are added an EFFECTIVE DATE distinct from approval — approving and making applicable are two acts, and the second often waits for people to be trained — and a PERIODIC REVIEW: declared interval, due date computed at every release, review recorded with its conclusion and its author, delay written to the trail. The due date is shown on the document and on the dashboard; it TRIGGERS no reminder, Filum having no outbound channel.
Also added: CONTROLLED DISTRIBUTION and READ ACKNOWLEDGEMENT — a recipient list per revision, the state of who has read and who is left, and an acknowledgement each person places FOR THEMSELVES, never for another. A reading holds for one revision and does not survive the next: releasing a new revision puts everyone back to pending without erasing what had been read of the previous one. Here too, nothing is SENT — no email, no reminder, no chasing: recipients see on their dashboard what is left for them to read.
A READ ACKNOWLEDGEMENT IS NOT A TRAINING RECORD, and the distinction is not a nicety: having read a procedure does not establish that you can apply it. Filum holds no training plan, no competence matrix, no job authorisation, no evaluation of training effectiveness — that is, most of what ISO 13485 §6.2 requires. A nonconformity may DECLARE that it came from a complaint, an audit or a supplier: Filum records the reference, it does not manage the source. Filum covers design controls, not the whole quality system.</w:t>
      </w:r>
    </w:p>
    <w:p>
      <w:pPr>
        <w:spacing w:after="40"/>
      </w:pPr>
      <w:r>
        <w:rPr>
          <w:b/>
          <w:bCs/>
          <w:color w:val="B91C1C"/>
          <w:sz w:val="20"/>
          <w:szCs w:val="20"/>
        </w:rPr>
        <w:t xml:space="preserve">No configuration management</w:t>
      </w:r>
    </w:p>
    <w:p>
      <w:pPr>
        <w:spacing w:after="150"/>
      </w:pPr>
      <w:r>
        <w:rPr>
          <w:sz w:val="20"/>
          <w:szCs w:val="20"/>
        </w:rPr>
        <w:t xml:space="preserve">No baselines, no configuration items, no comparison between two frozen states of a file. “ECR” exists as a document type, not as a tooled change-control process.</w:t>
      </w:r>
    </w:p>
    <w:p>
      <w:pPr>
        <w:spacing w:after="40"/>
      </w:pPr>
      <w:r>
        <w:rPr>
          <w:b/>
          <w:bCs/>
          <w:color w:val="B91C1C"/>
          <w:sz w:val="20"/>
          <w:szCs w:val="20"/>
        </w:rPr>
        <w:t xml:space="preserve">IEC 62304 is a stub</w:t>
      </w:r>
    </w:p>
    <w:p>
      <w:pPr>
        <w:spacing w:after="150"/>
      </w:pPr>
      <w:r>
        <w:rPr>
          <w:sz w:val="20"/>
          <w:szCs w:val="20"/>
        </w:rPr>
        <w:t xml:space="preserve">You declare a software item, its A/B/C class and its versions, and attach tests to a version. That is all. No tooled software lifecycle, no anomaly tracking, no SOUP management, no unit / integration / system test levels. If your device is primarily software, Filum is not your tool yet.</w:t>
      </w:r>
    </w:p>
    <w:p>
      <w:pPr>
        <w:spacing w:after="40"/>
      </w:pPr>
      <w:r>
        <w:rPr>
          <w:b/>
          <w:bCs/>
          <w:color w:val="B91C1C"/>
          <w:sz w:val="20"/>
          <w:szCs w:val="20"/>
        </w:rPr>
        <w:t xml:space="preserve">No outbound channel</w:t>
      </w:r>
    </w:p>
    <w:p>
      <w:pPr>
        <w:spacing w:after="150"/>
      </w:pPr>
      <w:r>
        <w:rPr>
          <w:sz w:val="20"/>
          <w:szCs w:val="20"/>
        </w:rPr>
        <w:t xml:space="preserve">Filum sends no email. Therefore: no notifications, no due-date reminders, no approver chasing, no reset link sent by mail. This is a choice, not an oversight — see “Three deliberate trade-offs”.</w:t>
      </w:r>
    </w:p>
    <w:p>
      <w:pPr>
        <w:spacing w:after="40"/>
      </w:pPr>
      <w:r>
        <w:rPr>
          <w:b/>
          <w:bCs/>
          <w:color w:val="B91C1C"/>
          <w:sz w:val="20"/>
          <w:szCs w:val="20"/>
        </w:rPr>
        <w:t xml:space="preserve">No integration with your information system</w:t>
      </w:r>
    </w:p>
    <w:p>
      <w:pPr>
        <w:spacing w:after="150"/>
      </w:pPr>
      <w:r>
        <w:rPr>
          <w:sz w:val="20"/>
          <w:szCs w:val="20"/>
        </w:rPr>
        <w:t xml:space="preserve">No webhooks, no PLM, ERP or ALM connector, no ReqIF. There is a READ-ONLY API, token-authenticated, to extract programmes, requirements and traceability — it gets data out, it does not bring any in and connects to nothing. Data migration goes through CSV files, or by dropping an .xlsx workbook or a .docx document (see “Migrating your data”).
AND FILUM IS NOT AN ERP. An ERP handles purchasing, stock, production scheduling, manufactured lots, invoicing and accounting. Filum handles the DESIGN FILE — what comes before production, not what drives it. The two sit side by side in a medical device company; they replace each other on no point, and Filum contributes to no ERP function.</w:t>
      </w:r>
    </w:p>
    <w:p>
      <w:pPr>
        <w:spacing w:after="40"/>
      </w:pPr>
      <w:r>
        <w:rPr>
          <w:b/>
          <w:bCs/>
          <w:color w:val="B91C1C"/>
          <w:sz w:val="20"/>
          <w:szCs w:val="20"/>
        </w:rPr>
        <w:t xml:space="preserve">One installation, one organisation</w:t>
      </w:r>
    </w:p>
    <w:p>
      <w:pPr>
        <w:spacing w:after="150"/>
      </w:pPr>
      <w:r>
        <w:rPr>
          <w:sz w:val="20"/>
          <w:szCs w:val="20"/>
        </w:rPr>
        <w:t xml:space="preserve">Filum is not multi-tenant: there is no per-customer partitioning inside a single database. Isolation is per instance. That is easier to defend in an audit, and it means one installation per entity.</w:t>
      </w:r>
    </w:p>
    <w:p>
      <w:pPr>
        <w:spacing w:after="40"/>
      </w:pPr>
      <w:r>
        <w:rPr>
          <w:b/>
          <w:bCs/>
          <w:color w:val="B91C1C"/>
          <w:sz w:val="20"/>
          <w:szCs w:val="20"/>
        </w:rPr>
        <w:t xml:space="preserve">You only sign what Filum produces</w:t>
      </w:r>
    </w:p>
    <w:p>
      <w:pPr>
        <w:spacing w:after="150"/>
      </w:pPr>
      <w:r>
        <w:rPr>
          <w:sz w:val="20"/>
          <w:szCs w:val="20"/>
        </w:rPr>
        <w:t xml:space="preserve">The electronic signature applies to records generated by the software. Filum does not sign an uploaded PDF or a file coming from elsewhere.</w:t>
      </w:r>
    </w:p>
    <w:p>
      <w:pPr>
        <w:spacing w:after="40"/>
      </w:pPr>
      <w:r>
        <w:rPr>
          <w:b/>
          <w:bCs/>
          <w:color w:val="B91C1C"/>
          <w:sz w:val="20"/>
          <w:szCs w:val="20"/>
        </w:rPr>
        <w:t xml:space="preserve">Audit entries already written are not retranslated</w:t>
      </w:r>
    </w:p>
    <w:p>
      <w:pPr>
        <w:spacing w:after="150"/>
      </w:pPr>
      <w:r>
        <w:rPr>
          <w:sz w:val="20"/>
          <w:szCs w:val="20"/>
        </w:rPr>
        <w:t xml:space="preserve">The audit trail now reads in French or in English — on screen, on export and in the inspection archive: each entry carries its message key and arguments, and the text is produced at read time. Two exceptions, assumed. Entries recorded BEFORE this version hold only their original French text: a record is not rewritten, and doing so would break the chaining — the screen flags them to the reader. The two server-console tools (bootstrap of the first administrator, emergency reset) also write in French: they run outside the application, where the message catalogue does not exist.</w:t>
      </w:r>
    </w:p>
    <w:p>
      <w:pPr>
        <w:spacing w:after="40"/>
      </w:pPr>
      <w:r>
        <w:rPr>
          <w:b/>
          <w:bCs/>
          <w:color w:val="B91C1C"/>
          <w:sz w:val="20"/>
          <w:szCs w:val="20"/>
        </w:rPr>
        <w:t xml:space="preserve">Concurrent users are not qualified</w:t>
      </w:r>
    </w:p>
    <w:p>
      <w:pPr>
        <w:spacing w:after="150"/>
      </w:pPr>
      <w:r>
        <w:rPr>
          <w:sz w:val="20"/>
          <w:szCs w:val="20"/>
        </w:rPr>
        <w:t xml:space="preserve">A measured load campaign ships with the product: it characterises behaviour up to fifty thousand audit trail entries, and names what degrades — audit chain verification, re-read in full on every display of the audit screen. What it does not measure is stated just as plainly: CONCURRENT users. The database engine shipped admits only one writer at a time; two signatures applied in the same second wait for each other. If you expect more than a handful of simultaneously active users, that is the first thing to exercise in your performance qualification.</w:t>
      </w:r>
    </w:p>
    <w:p>
      <w:pPr>
        <w:spacing w:after="40"/>
      </w:pPr>
      <w:r>
        <w:rPr>
          <w:b/>
          <w:bCs/>
          <w:color w:val="B91C1C"/>
          <w:sz w:val="20"/>
          <w:szCs w:val="20"/>
        </w:rPr>
        <w:t xml:space="preserve">No mobile app, no offline mode</w:t>
      </w:r>
    </w:p>
    <w:p>
      <w:pPr>
        <w:spacing w:after="150"/>
      </w:pPr>
      <w:r>
        <w:rPr>
          <w:sz w:val="20"/>
          <w:szCs w:val="20"/>
        </w:rPr>
        <w:t xml:space="preserve">Filum is a web application served by your own server. The interface is meant for a computer screen; there is neither a native app nor disconnected operation.</w:t>
      </w:r>
    </w:p>
    <w:p>
      <w:pPr>
        <w:pStyle w:val="Heading1"/>
        <w:spacing w:after="140" w:before="320"/>
      </w:pPr>
      <w:r>
        <w:t xml:space="preserve">4. What remains yours</w:t>
      </w:r>
    </w:p>
    <w:p>
      <w:pPr>
        <w:spacing w:after="140"/>
      </w:pPr>
      <w:r>
        <w:rPr>
          <w:sz w:val="20"/>
          <w:szCs w:val="20"/>
        </w:rPr>
        <w:t xml:space="preserve">No software makes anyone compliant. These points belong to your organisation, and no vendor can take them over.</w:t>
      </w:r>
    </w:p>
    <w:p>
      <w:pPr>
        <w:pStyle w:val="ListParagraph"/>
        <w:numPr>
          <w:ilvl w:val="0"/>
          <w:numId w:val="1"/>
        </w:numPr>
        <w:spacing w:after="70"/>
      </w:pPr>
      <w:r>
        <w:rPr>
          <w:sz w:val="20"/>
          <w:szCs w:val="20"/>
        </w:rPr>
        <w:t xml:space="preserve">The 21 CFR §11.100(c) certification, where applicable: it binds the legal entity whose staff sign, by handwritten letter to the FDA. No vendor can carry it for you.</w:t>
      </w:r>
    </w:p>
    <w:p>
      <w:pPr>
        <w:pStyle w:val="ListParagraph"/>
        <w:numPr>
          <w:ilvl w:val="0"/>
          <w:numId w:val="1"/>
        </w:numPr>
        <w:spacing w:after="70"/>
      </w:pPr>
      <w:r>
        <w:rPr>
          <w:sz w:val="20"/>
          <w:szCs w:val="20"/>
        </w:rPr>
        <w:t xml:space="preserve">Installation, operational and performance qualification in YOUR environment, the system criticality decision, and your revalidation policy after updates. The delivered pack feeds your protocols; it does not replace them.</w:t>
      </w:r>
    </w:p>
    <w:p>
      <w:pPr>
        <w:pStyle w:val="ListParagraph"/>
        <w:numPr>
          <w:ilvl w:val="0"/>
          <w:numId w:val="1"/>
        </w:numPr>
        <w:spacing w:after="70"/>
      </w:pPr>
      <w:r>
        <w:rPr>
          <w:sz w:val="20"/>
          <w:szCs w:val="20"/>
        </w:rPr>
        <w:t xml:space="preserve">The audit trail review FREQUENCY, and the JUDGEMENT passed at each review. Filum computes coverage, designates what deserves reading, requires a reasoned verdict on every selected entry and signs the closure — but it cannot tell a legitimate change from a suspicious one, and it imposes no period: the right one depends on your activity volume and the criticality of the system. Reviewer independence is measured and recorded on every review, never enforced — it is for your quality system to say whether it suffices.</w:t>
      </w:r>
    </w:p>
    <w:p>
      <w:pPr>
        <w:pStyle w:val="ListParagraph"/>
        <w:numPr>
          <w:ilvl w:val="0"/>
          <w:numId w:val="1"/>
        </w:numPr>
        <w:spacing w:after="70"/>
      </w:pPr>
      <w:r>
        <w:rPr>
          <w:sz w:val="20"/>
          <w:szCs w:val="20"/>
        </w:rPr>
        <w:t xml:space="preserve">Backups — database AND file volume together — and restricting direct access to the database. The software's controls apply to writes made BY the application; direct file access writes outside them.</w:t>
      </w:r>
    </w:p>
    <w:p>
      <w:pPr>
        <w:pStyle w:val="ListParagraph"/>
        <w:numPr>
          <w:ilvl w:val="0"/>
          <w:numId w:val="1"/>
        </w:numPr>
        <w:spacing w:after="70"/>
      </w:pPr>
      <w:r>
        <w:rPr>
          <w:sz w:val="20"/>
          <w:szCs w:val="20"/>
        </w:rPr>
        <w:t xml:space="preserve">Declaring your retention period and its basis, choosing a timestamping authority if you want one, and producing inspection archives at the moments your procedure prescribes.</w:t>
      </w:r>
    </w:p>
    <w:p>
      <w:pPr>
        <w:pStyle w:val="ListParagraph"/>
        <w:numPr>
          <w:ilvl w:val="0"/>
          <w:numId w:val="1"/>
        </w:numPr>
        <w:spacing w:after="70"/>
      </w:pPr>
      <w:r>
        <w:rPr>
          <w:sz w:val="20"/>
          <w:szCs w:val="20"/>
        </w:rPr>
        <w:t xml:space="preserve">The channel for handing over reset tokens, and the instruction to users to report a token refused as “already used”.</w:t>
      </w:r>
    </w:p>
    <w:p>
      <w:pPr>
        <w:pStyle w:val="Heading1"/>
        <w:spacing w:after="140" w:before="320"/>
      </w:pPr>
      <w:r>
        <w:t xml:space="preserve">5. Three deliberate trade-offs</w:t>
      </w:r>
    </w:p>
    <w:p>
      <w:pPr>
        <w:spacing w:after="140"/>
      </w:pPr>
      <w:r>
        <w:rPr>
          <w:sz w:val="20"/>
          <w:szCs w:val="20"/>
        </w:rPr>
        <w:t xml:space="preserve">These three decisions explain much of what Filum does not do. They are defensible; they are not free.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E0E7FF"/>
            <w:tcMar>
              <w:top w:type="dxa" w:w="80"/>
              <w:left w:type="dxa" w:w="110"/>
              <w:bottom w:type="dxa" w:w="80"/>
              <w:right w:type="dxa" w:w="110"/>
            </w:tcMar>
          </w:tcPr>
          <w:p>
            <w:pPr>
              <w:spacing w:after="0"/>
            </w:pPr>
            <w:r>
              <w:rPr>
                <w:b/>
                <w:bCs/>
                <w:sz w:val="17"/>
                <w:szCs w:val="17"/>
              </w:rPr>
              <w:t xml:space="preserve">The choice</w:t>
            </w:r>
          </w:p>
        </w:tc>
        <w:tc>
          <w:tcPr>
            <w:tcW w:type="pct" w:w="50%"/>
            <w:shd w:fill="E0E7FF"/>
            <w:tcMar>
              <w:top w:type="dxa" w:w="80"/>
              <w:left w:type="dxa" w:w="110"/>
              <w:bottom w:type="dxa" w:w="80"/>
              <w:right w:type="dxa" w:w="110"/>
            </w:tcMar>
          </w:tcPr>
          <w:p>
            <w:pPr>
              <w:spacing w:after="0"/>
            </w:pPr>
            <w:r>
              <w:rPr>
                <w:b/>
                <w:bCs/>
                <w:sz w:val="17"/>
                <w:szCs w:val="17"/>
              </w:rPr>
              <w:t xml:space="preserve">What it costs you</w:t>
            </w:r>
          </w:p>
        </w:tc>
      </w:tr>
      <w:tr>
        <w:tc>
          <w:tcPr>
            <w:tcW w:type="pct" w:w="50%"/>
            <w:tcMar>
              <w:top w:type="dxa" w:w="80"/>
              <w:left w:type="dxa" w:w="110"/>
              <w:bottom w:type="dxa" w:w="80"/>
              <w:right w:type="dxa" w:w="110"/>
            </w:tcMar>
          </w:tcPr>
          <w:p>
            <w:pPr>
              <w:spacing w:after="0"/>
            </w:pPr>
            <w:r>
              <w:rPr>
                <w:color w:val="047857"/>
                <w:sz w:val="17"/>
                <w:szCs w:val="17"/>
              </w:rPr>
              <w:t xml:space="preserve">No outbound channel. Nothing leaves your infrastructure: no email, no telemetry, no incident reporting back to the vendor.</w:t>
            </w:r>
          </w:p>
        </w:tc>
        <w:tc>
          <w:tcPr>
            <w:tcW w:type="pct" w:w="50%"/>
            <w:tcMar>
              <w:top w:type="dxa" w:w="80"/>
              <w:left w:type="dxa" w:w="110"/>
              <w:bottom w:type="dxa" w:w="80"/>
              <w:right w:type="dxa" w:w="110"/>
            </w:tcMar>
          </w:tcPr>
          <w:p>
            <w:pPr>
              <w:spacing w:after="0"/>
            </w:pPr>
            <w:r>
              <w:rPr>
                <w:color w:val="B45309"/>
                <w:sz w:val="17"/>
                <w:szCs w:val="17"/>
              </w:rPr>
              <w:t xml:space="preserve">In exchange, no notifications or automatic chasing, and a reset token is handed over in person.</w:t>
            </w:r>
          </w:p>
        </w:tc>
      </w:tr>
      <w:tr>
        <w:tc>
          <w:tcPr>
            <w:tcW w:type="pct" w:w="50%"/>
            <w:tcMar>
              <w:top w:type="dxa" w:w="80"/>
              <w:left w:type="dxa" w:w="110"/>
              <w:bottom w:type="dxa" w:w="80"/>
              <w:right w:type="dxa" w:w="110"/>
            </w:tcMar>
          </w:tcPr>
          <w:p>
            <w:pPr>
              <w:spacing w:after="0"/>
            </w:pPr>
            <w:r>
              <w:rPr>
                <w:color w:val="047857"/>
                <w:sz w:val="17"/>
                <w:szCs w:val="17"/>
              </w:rPr>
              <w:t xml:space="preserve">The graph is the source, the document is a projection. Data is entered once and the file cannot contradict the data it is made of.</w:t>
            </w:r>
          </w:p>
        </w:tc>
        <w:tc>
          <w:tcPr>
            <w:tcW w:type="pct" w:w="50%"/>
            <w:tcMar>
              <w:top w:type="dxa" w:w="80"/>
              <w:left w:type="dxa" w:w="110"/>
              <w:bottom w:type="dxa" w:w="80"/>
              <w:right w:type="dxa" w:w="110"/>
            </w:tcMar>
          </w:tcPr>
          <w:p>
            <w:pPr>
              <w:spacing w:after="0"/>
            </w:pPr>
            <w:r>
              <w:rPr>
                <w:color w:val="B45309"/>
                <w:sz w:val="17"/>
                <w:szCs w:val="17"/>
              </w:rPr>
              <w:t xml:space="preserve">In exchange, you must accept that “the approved document” is a frozen snapshot kept byte for byte — not a file you reopen and edit.</w:t>
            </w:r>
          </w:p>
        </w:tc>
      </w:tr>
      <w:tr>
        <w:tc>
          <w:tcPr>
            <w:tcW w:type="pct" w:w="50%"/>
            <w:tcMar>
              <w:top w:type="dxa" w:w="80"/>
              <w:left w:type="dxa" w:w="110"/>
              <w:bottom w:type="dxa" w:w="80"/>
              <w:right w:type="dxa" w:w="110"/>
            </w:tcMar>
          </w:tcPr>
          <w:p>
            <w:pPr>
              <w:spacing w:after="0"/>
            </w:pPr>
            <w:r>
              <w:rPr>
                <w:color w:val="047857"/>
                <w:sz w:val="17"/>
                <w:szCs w:val="17"/>
              </w:rPr>
              <w:t xml:space="preserve">The AI assistant runs on YOUR Anthropic key. The call leaves from your server, under your own contract: no design data passes through the vendor.</w:t>
            </w:r>
          </w:p>
        </w:tc>
        <w:tc>
          <w:tcPr>
            <w:tcW w:type="pct" w:w="50%"/>
            <w:tcMar>
              <w:top w:type="dxa" w:w="80"/>
              <w:left w:type="dxa" w:w="110"/>
              <w:bottom w:type="dxa" w:w="80"/>
              <w:right w:type="dxa" w:w="110"/>
            </w:tcMar>
          </w:tcPr>
          <w:p>
            <w:pPr>
              <w:spacing w:after="0"/>
            </w:pPr>
            <w:r>
              <w:rPr>
                <w:color w:val="B45309"/>
                <w:sz w:val="17"/>
                <w:szCs w:val="17"/>
              </w:rPr>
              <w:t xml:space="preserve">In exchange, you need that contract. With no key the assistant is simply absent — the rest of the software works exactly the same.</w:t>
            </w:r>
          </w:p>
        </w:tc>
      </w:tr>
    </w:tbl>
    <w:p>
      <w:pPr>
        <w:pStyle w:val="Heading1"/>
        <w:spacing w:after="140" w:before="320"/>
      </w:pPr>
      <w:r>
        <w:t xml:space="preserve">6. Knowing in five minutes whether this fits</w:t>
      </w:r>
    </w:p>
    <w:p>
      <w:pPr>
        <w:spacing w:after="90"/>
      </w:pPr>
      <w:r>
        <w:rPr>
          <w:b/>
          <w:bCs/>
          <w:color w:val="047857"/>
          <w:sz w:val="20"/>
          <w:szCs w:val="20"/>
        </w:rPr>
        <w:t xml:space="preserve">Filum will probably suit you if:</w:t>
      </w:r>
    </w:p>
    <w:p>
      <w:pPr>
        <w:pStyle w:val="ListParagraph"/>
        <w:numPr>
          <w:ilvl w:val="0"/>
          <w:numId w:val="1"/>
        </w:numPr>
        <w:spacing w:after="70"/>
      </w:pPr>
      <w:r>
        <w:rPr>
          <w:sz w:val="20"/>
          <w:szCs w:val="20"/>
        </w:rPr>
        <w:t xml:space="preserve">You design medical devices or IVDs, and your traceability lives today in Excel workbooks and re-typed Word documents.</w:t>
      </w:r>
    </w:p>
    <w:p>
      <w:pPr>
        <w:pStyle w:val="ListParagraph"/>
        <w:numPr>
          <w:ilvl w:val="0"/>
          <w:numId w:val="1"/>
        </w:numPr>
        <w:spacing w:after="70"/>
      </w:pPr>
      <w:r>
        <w:rPr>
          <w:sz w:val="20"/>
          <w:szCs w:val="20"/>
        </w:rPr>
        <w:t xml:space="preserve">Your tests produce numerical data that someone reworks by hand to reach a verdict.</w:t>
      </w:r>
    </w:p>
    <w:p>
      <w:pPr>
        <w:pStyle w:val="ListParagraph"/>
        <w:numPr>
          <w:ilvl w:val="0"/>
          <w:numId w:val="1"/>
        </w:numPr>
        <w:spacing w:after="70"/>
      </w:pPr>
      <w:r>
        <w:rPr>
          <w:sz w:val="20"/>
          <w:szCs w:val="20"/>
        </w:rPr>
        <w:t xml:space="preserve">You are asked to demonstrate design control — traceability matrix, DHF, risk management — and assembling the file costs you weeks.</w:t>
      </w:r>
    </w:p>
    <w:p>
      <w:pPr>
        <w:pStyle w:val="ListParagraph"/>
        <w:numPr>
          <w:ilvl w:val="0"/>
          <w:numId w:val="1"/>
        </w:numPr>
        <w:spacing w:after="70"/>
      </w:pPr>
      <w:r>
        <w:rPr>
          <w:sz w:val="20"/>
          <w:szCs w:val="20"/>
        </w:rPr>
        <w:t xml:space="preserve">You are a team of 5 to 100 people, and the platforms on offer feel oversized or out of budget.</w:t>
      </w:r>
    </w:p>
    <w:p>
      <w:pPr>
        <w:spacing w:after="90"/>
      </w:pPr>
      <w:r>
        <w:rPr>
          <w:b/>
          <w:bCs/>
          <w:color w:val="B91C1C"/>
          <w:sz w:val="20"/>
          <w:szCs w:val="20"/>
        </w:rPr>
        <w:t xml:space="preserve">Filum will probably not suit you if:</w:t>
      </w:r>
    </w:p>
    <w:p>
      <w:pPr>
        <w:pStyle w:val="ListParagraph"/>
        <w:numPr>
          <w:ilvl w:val="0"/>
          <w:numId w:val="1"/>
        </w:numPr>
        <w:spacing w:after="70"/>
      </w:pPr>
      <w:r>
        <w:rPr>
          <w:sz w:val="20"/>
          <w:szCs w:val="20"/>
        </w:rPr>
        <w:t xml:space="preserve">You are looking for a complete quality system — training, suppliers, complaints, internal audits. Filum covers none of them.</w:t>
      </w:r>
    </w:p>
    <w:p>
      <w:pPr>
        <w:pStyle w:val="ListParagraph"/>
        <w:numPr>
          <w:ilvl w:val="0"/>
          <w:numId w:val="1"/>
        </w:numPr>
        <w:spacing w:after="70"/>
      </w:pPr>
      <w:r>
        <w:rPr>
          <w:sz w:val="20"/>
          <w:szCs w:val="20"/>
        </w:rPr>
        <w:t xml:space="preserve">Your device is primarily software and you expect a tooled IEC 62304 chain. It does not exist yet.</w:t>
      </w:r>
    </w:p>
    <w:p>
      <w:pPr>
        <w:pStyle w:val="ListParagraph"/>
        <w:numPr>
          <w:ilvl w:val="0"/>
          <w:numId w:val="1"/>
        </w:numPr>
        <w:spacing w:after="70"/>
      </w:pPr>
      <w:r>
        <w:rPr>
          <w:sz w:val="20"/>
          <w:szCs w:val="20"/>
        </w:rPr>
        <w:t xml:space="preserve">You need the tool to integrate with an existing PLM, ERP or ALM. There is neither a public API nor a connector.</w:t>
      </w:r>
    </w:p>
    <w:p>
      <w:pPr>
        <w:pStyle w:val="ListParagraph"/>
        <w:numPr>
          <w:ilvl w:val="0"/>
          <w:numId w:val="1"/>
        </w:numPr>
        <w:spacing w:after="70"/>
      </w:pPr>
      <w:r>
        <w:rPr>
          <w:sz w:val="20"/>
          <w:szCs w:val="20"/>
        </w:rPr>
        <w:t xml:space="preserve">You want a vendor-run multi-tenant SaaS. Filum installs on your side, one instance per organisation.</w:t>
      </w:r>
    </w:p>
    <w:p>
      <w:pPr>
        <w:pStyle w:val="ListParagraph"/>
        <w:numPr>
          <w:ilvl w:val="0"/>
          <w:numId w:val="1"/>
        </w:numPr>
        <w:spacing w:after="70"/>
      </w:pPr>
      <w:r>
        <w:rPr>
          <w:sz w:val="20"/>
          <w:szCs w:val="20"/>
        </w:rPr>
        <w:t xml:space="preserve">Your organisation expects a supplier to declare itself “21 CFR Part 11 compliant”. We will not write that, because it is untrue of any vendor.</w:t>
      </w:r>
    </w:p>
    <w:p>
      <w:pPr>
        <w:pStyle w:val="Heading1"/>
        <w:spacing w:after="140" w:before="320"/>
      </w:pPr>
      <w:r>
        <w:t xml:space="preserve">7. What happens next, if you want to go further</w:t>
      </w:r>
    </w:p>
    <w:p>
      <w:pPr>
        <w:spacing w:after="200"/>
      </w:pPr>
      <w:r>
        <w:rPr>
          <w:sz w:val="20"/>
          <w:szCs w:val="20"/>
        </w:rPr>
        <w:t xml:space="preserve">Send us the file that carries your traceability today — the Excel workbook, the matrix, whatever you have. We will tell you what fits into Filum, what does not, and what the migration takes. No commitment, and no demonstration first: if the answer is “it does not fit”, you will have learned it without spending a meeting on it.</w:t>
      </w:r>
    </w:p>
    <w:p>
      <w:pPr>
        <w:spacing w:after="0"/>
      </w:pPr>
      <w:r>
        <w:rPr>
          <w:i/>
          <w:iCs/>
          <w:color w:val="475569"/>
          <w:sz w:val="17"/>
          <w:szCs w:val="17"/>
        </w:rPr>
        <w:t xml:space="preserve">This document describes the software at version 1.2.1, as of 1 October 2026. It is regenerated from the product repository rather than maintained by hand: any gap between what it announces and what the software does is therefore a defect, not marketing licence. If the copy you hold is older than your installation, ask us for the current note.</w:t>
      </w:r>
    </w:p>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75569"/>
        <w:sz w:val="17"/>
        <w:szCs w:val="17"/>
      </w:rPr>
      <w:t xml:space="preserve">Version 1.2.1   ·   1 October 2026   ·   </w:t>
    </w:r>
    <w:r>
      <w:rPr>
        <w:color w:val="475569"/>
        <w:sz w:val="17"/>
        <w:szCs w:val="17"/>
      </w:rPr>
      <w:fldChar w:fldCharType="begin"/>
      <w:instrText xml:space="preserve">PAGE</w:instrText>
      <w:fldChar w:fldCharType="separate"/>
      <w:fldChar w:fldCharType="end"/>
    </w:r>
    <w:r>
      <w:rPr>
        <w:color w:val="475569"/>
        <w:sz w:val="17"/>
        <w:szCs w:val="17"/>
      </w:rPr>
      <w:t xml:space="preserve"> / </w:t>
    </w:r>
    <w:r>
      <w:rPr>
        <w:color w:val="475569"/>
        <w:sz w:val="17"/>
        <w:szCs w:val="17"/>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475569"/>
        <w:sz w:val="17"/>
        <w:szCs w:val="17"/>
      </w:rPr>
      <w:t xml:space="preserve">Filum — software scope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pPr>
        <w:spacing w:after="12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4338C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Filum — Software scope</dc:title>
  <dc:creator>Filum</dc:creator>
  <dc:description>What the software does, what it does not, and what remains the customer's responsibility.</dc:description>
  <cp:lastModifiedBy>Un-named</cp:lastModifiedBy>
  <cp:revision>1</cp:revision>
  <dcterms:created xsi:type="dcterms:W3CDTF">2026-10-01T11:27:56.771Z</dcterms:created>
  <dcterms:modified xsi:type="dcterms:W3CDTF">2026-10-01T11:27:56.771Z</dcterms:modified>
</cp:coreProperties>
</file>

<file path=docProps/custom.xml><?xml version="1.0" encoding="utf-8"?>
<Properties xmlns="http://schemas.openxmlformats.org/officeDocument/2006/custom-properties" xmlns:vt="http://schemas.openxmlformats.org/officeDocument/2006/docPropsVTypes"/>
</file>