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800"/>
        <w:jc w:val="center"/>
      </w:pPr>
      <w:r>
        <w:rPr>
          <w:b/>
          <w:bCs/>
          <w:color w:val="4338CA"/>
          <w:sz w:val="44"/>
          <w:szCs w:val="44"/>
        </w:rPr>
        <w:t xml:space="preserve">Filum</w:t>
      </w:r>
    </w:p>
    <w:p>
      <w:pPr>
        <w:spacing w:after="60"/>
        <w:jc w:val="center"/>
      </w:pPr>
      <w:r>
        <w:rPr>
          <w:b/>
          <w:bCs/>
          <w:sz w:val="34"/>
          <w:szCs w:val="34"/>
        </w:rPr>
        <w:t xml:space="preserve">Matrice 21 CFR Part 11</w:t>
      </w:r>
    </w:p>
    <w:p>
      <w:pPr>
        <w:spacing w:after="700"/>
        <w:jc w:val="center"/>
      </w:pPr>
      <w:r>
        <w:rPr>
          <w:color w:val="475569"/>
          <w:sz w:val="22"/>
          <w:szCs w:val="22"/>
        </w:rPr>
        <w:t xml:space="preserve">Ce que le logiciel implémente · Ce qui relève de vos procédures</w:t>
      </w:r>
    </w:p>
    <w:p>
      <w:pPr>
        <w:pStyle w:val="Heading1"/>
        <w:spacing w:after="140" w:before="320"/>
      </w:pPr>
      <w:r>
        <w:t xml:space="preserve">1. Objet de ce document</w:t>
      </w:r>
    </w:p>
    <w:p>
      <w:pPr>
        <w:spacing w:after="120"/>
      </w:pPr>
      <w:r>
        <w:rPr>
          <w:sz w:val="20"/>
          <w:szCs w:val="20"/>
        </w:rPr>
        <w:t xml:space="preserve">Ce document décrit, clause par clause du 21 CFR Part 11, ce que le logiciel Filum implémente réellement et ce qui reste à la charge de votre organisation. Il est destiné à votre responsable qualité et peut être remis tel quel à un auditeur.</w:t>
      </w:r>
    </w:p>
    <w:p>
      <w:pPr>
        <w:spacing w:after="160"/>
      </w:pPr>
      <w:r>
        <w:rPr>
          <w:sz w:val="20"/>
          <w:szCs w:val="20"/>
        </w:rPr>
        <w:t xml:space="preserve">Filum n'est pas — et ne peut pas être — « conforme 21 CFR Part 11 ». La conformité appartient à l'organisation qui exploite le système, pour trois raisons cumulatives : la certification §11.100(c) est un acte de l'entité juridique dont les collaborateurs signent, adressé par lettre à la FDA ; une partie des exigences est purement organisationnelle (formation, politique de responsabilisation, maîtrise documentaire, vérification d'identité) ; et la validation du système s'apprécie dans votre environnement d'exploitation, pas chez l'éditeur.</w:t>
      </w:r>
    </w:p>
    <w:p>
      <w:pPr>
        <w:spacing w:after="160"/>
      </w:pPr>
      <w:r>
        <w:rPr>
          <w:sz w:val="20"/>
          <w:szCs w:val="20"/>
        </w:rPr>
        <w:t xml:space="preserve">Ce que Filum fournit, c'est l'ensemble des contrôles techniques dont votre conformité dépend, avec la preuve de leur fonctionnement — et l'énoncé franc de ce qui n'est pas couvert. La section 4 liste les points ouverts sans les enjoliver : un auditeur les trouvera de toute façon, autant qu'ils viennent de nous.</w:t>
      </w:r>
    </w:p>
    <w:p>
      <w:pPr>
        <w:pStyle w:val="Heading1"/>
        <w:spacing w:after="140" w:before="320"/>
      </w:pPr>
      <w:r>
        <w:t xml:space="preserve">2. Comment lire la matrice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2%"/>
            <w:shd w:fill="D1FAE5"/>
            <w:tcMar>
              <w:top w:type="dxa" w:w="80"/>
              <w:left w:type="dxa" w:w="110"/>
              <w:bottom w:type="dxa" w:w="80"/>
              <w:right w:type="dxa" w:w="110"/>
            </w:tcMar>
          </w:tcPr>
          <w:p>
            <w:pPr>
              <w:spacing w:after="0"/>
            </w:pPr>
            <w:r>
              <w:rPr>
                <w:b/>
                <w:bCs/>
                <w:color w:val="047857"/>
                <w:sz w:val="17"/>
                <w:szCs w:val="17"/>
              </w:rPr>
              <w:t xml:space="preserve">Implémenté</w:t>
            </w:r>
          </w:p>
        </w:tc>
        <w:tc>
          <w:tcPr>
            <w:tcW w:type="pct" w:w="78%"/>
            <w:tcMar>
              <w:top w:type="dxa" w:w="80"/>
              <w:left w:type="dxa" w:w="110"/>
              <w:bottom w:type="dxa" w:w="80"/>
              <w:right w:type="dxa" w:w="110"/>
            </w:tcMar>
          </w:tcPr>
          <w:p>
            <w:pPr>
              <w:spacing w:after="0"/>
            </w:pPr>
            <w:r>
              <w:rPr>
                <w:sz w:val="17"/>
                <w:szCs w:val="17"/>
              </w:rPr>
              <w:t xml:space="preserve">Le logiciel satisfait la clause pour ce qui relève d'un logiciel. Le comportement est vérifiable en séance.</w:t>
            </w:r>
          </w:p>
        </w:tc>
      </w:tr>
      <w:tr>
        <w:tc>
          <w:tcPr>
            <w:tcW w:type="pct" w:w="22%"/>
            <w:shd w:fill="FEF3C7"/>
            <w:tcMar>
              <w:top w:type="dxa" w:w="80"/>
              <w:left w:type="dxa" w:w="110"/>
              <w:bottom w:type="dxa" w:w="80"/>
              <w:right w:type="dxa" w:w="110"/>
            </w:tcMar>
          </w:tcPr>
          <w:p>
            <w:pPr>
              <w:spacing w:after="0"/>
            </w:pPr>
            <w:r>
              <w:rPr>
                <w:b/>
                <w:bCs/>
                <w:color w:val="B45309"/>
                <w:sz w:val="17"/>
                <w:szCs w:val="17"/>
              </w:rPr>
              <w:t xml:space="preserve">Partiel</w:t>
            </w:r>
          </w:p>
        </w:tc>
        <w:tc>
          <w:tcPr>
            <w:tcW w:type="pct" w:w="78%"/>
            <w:tcMar>
              <w:top w:type="dxa" w:w="80"/>
              <w:left w:type="dxa" w:w="110"/>
              <w:bottom w:type="dxa" w:w="80"/>
              <w:right w:type="dxa" w:w="110"/>
            </w:tcMar>
          </w:tcPr>
          <w:p>
            <w:pPr>
              <w:spacing w:after="0"/>
            </w:pPr>
            <w:r>
              <w:rPr>
                <w:sz w:val="17"/>
                <w:szCs w:val="17"/>
              </w:rPr>
              <w:t xml:space="preserve">Le logiciel couvre une part de la clause ; le reste est décrit sans détour et figure en section 4.</w:t>
            </w:r>
          </w:p>
        </w:tc>
      </w:tr>
      <w:tr>
        <w:tc>
          <w:tcPr>
            <w:tcW w:type="pct" w:w="22%"/>
            <w:shd w:fill="DBEAFE"/>
            <w:tcMar>
              <w:top w:type="dxa" w:w="80"/>
              <w:left w:type="dxa" w:w="110"/>
              <w:bottom w:type="dxa" w:w="80"/>
              <w:right w:type="dxa" w:w="110"/>
            </w:tcMar>
          </w:tcPr>
          <w:p>
            <w:pPr>
              <w:spacing w:after="0"/>
            </w:pPr>
            <w:r>
              <w:rPr>
                <w:b/>
                <w:bCs/>
                <w:color w:val="1D4ED8"/>
                <w:sz w:val="17"/>
                <w:szCs w:val="17"/>
              </w:rPr>
              <w:t xml:space="preserve">Votre organisation</w:t>
            </w:r>
          </w:p>
        </w:tc>
        <w:tc>
          <w:tcPr>
            <w:tcW w:type="pct" w:w="78%"/>
            <w:tcMar>
              <w:top w:type="dxa" w:w="80"/>
              <w:left w:type="dxa" w:w="110"/>
              <w:bottom w:type="dxa" w:w="80"/>
              <w:right w:type="dxa" w:w="110"/>
            </w:tcMar>
          </w:tcPr>
          <w:p>
            <w:pPr>
              <w:spacing w:after="0"/>
            </w:pPr>
            <w:r>
              <w:rPr>
                <w:sz w:val="17"/>
                <w:szCs w:val="17"/>
              </w:rPr>
              <w:t xml:space="preserve">La clause relève de vos procédures. Aucune ligne de code ne peut la satisfaire à votre place ; Filum fournit au mieux la preuve à joindre à votre dossier.</w:t>
            </w:r>
          </w:p>
        </w:tc>
      </w:tr>
      <w:tr>
        <w:tc>
          <w:tcPr>
            <w:tcW w:type="pct" w:w="22%"/>
            <w:shd w:fill="F1F5F9"/>
            <w:tcMar>
              <w:top w:type="dxa" w:w="80"/>
              <w:left w:type="dxa" w:w="110"/>
              <w:bottom w:type="dxa" w:w="80"/>
              <w:right w:type="dxa" w:w="110"/>
            </w:tcMar>
          </w:tcPr>
          <w:p>
            <w:pPr>
              <w:spacing w:after="0"/>
            </w:pPr>
            <w:r>
              <w:rPr>
                <w:b/>
                <w:bCs/>
                <w:color w:val="475569"/>
                <w:sz w:val="17"/>
                <w:szCs w:val="17"/>
              </w:rPr>
              <w:t xml:space="preserve">Hors périmètre</w:t>
            </w:r>
          </w:p>
        </w:tc>
        <w:tc>
          <w:tcPr>
            <w:tcW w:type="pct" w:w="78%"/>
            <w:tcMar>
              <w:top w:type="dxa" w:w="80"/>
              <w:left w:type="dxa" w:w="110"/>
              <w:bottom w:type="dxa" w:w="80"/>
              <w:right w:type="dxa" w:w="110"/>
            </w:tcMar>
          </w:tcPr>
          <w:p>
            <w:pPr>
              <w:spacing w:after="0"/>
            </w:pPr>
            <w:r>
              <w:rPr>
                <w:sz w:val="17"/>
                <w:szCs w:val="17"/>
              </w:rPr>
              <w:t xml:space="preserve">La clause ne s'applique pas à ce type de système, pour la raison indiquée.</w:t>
            </w:r>
          </w:p>
        </w:tc>
      </w:tr>
    </w:tbl>
    <w:p>
      <w:pPr>
        <w:pStyle w:val="Heading1"/>
        <w:spacing w:after="140" w:before="320"/>
      </w:pPr>
      <w:r>
        <w:t xml:space="preserve">3. Matrice clause par clause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pct" w:w="13%"/>
            <w:shd w:fill="E0E7FF"/>
            <w:tcMar>
              <w:top w:type="dxa" w:w="80"/>
              <w:left w:type="dxa" w:w="110"/>
              <w:bottom w:type="dxa" w:w="80"/>
              <w:right w:type="dxa" w:w="110"/>
            </w:tcMar>
          </w:tcPr>
          <w:p>
            <w:pPr>
              <w:spacing w:after="0"/>
            </w:pPr>
            <w:r>
              <w:rPr>
                <w:b/>
                <w:bCs/>
                <w:sz w:val="17"/>
                <w:szCs w:val="17"/>
              </w:rPr>
              <w:t xml:space="preserve">Clause / état</w:t>
            </w:r>
          </w:p>
        </w:tc>
        <w:tc>
          <w:tcPr>
            <w:tcW w:type="pct" w:w="26%"/>
            <w:shd w:fill="E0E7FF"/>
            <w:tcMar>
              <w:top w:type="dxa" w:w="80"/>
              <w:left w:type="dxa" w:w="110"/>
              <w:bottom w:type="dxa" w:w="80"/>
              <w:right w:type="dxa" w:w="110"/>
            </w:tcMar>
          </w:tcPr>
          <w:p>
            <w:pPr>
              <w:spacing w:after="0"/>
            </w:pPr>
            <w:r>
              <w:rPr>
                <w:b/>
                <w:bCs/>
                <w:sz w:val="17"/>
                <w:szCs w:val="17"/>
              </w:rPr>
              <w:t xml:space="preserve">Ce qu'exige la clause</w:t>
            </w:r>
          </w:p>
        </w:tc>
        <w:tc>
          <w:tcPr>
            <w:tcW w:type="pct" w:w="34%"/>
            <w:shd w:fill="E0E7FF"/>
            <w:tcMar>
              <w:top w:type="dxa" w:w="80"/>
              <w:left w:type="dxa" w:w="110"/>
              <w:bottom w:type="dxa" w:w="80"/>
              <w:right w:type="dxa" w:w="110"/>
            </w:tcMar>
          </w:tcPr>
          <w:p>
            <w:pPr>
              <w:spacing w:after="0"/>
            </w:pPr>
            <w:r>
              <w:rPr>
                <w:b/>
                <w:bCs/>
                <w:sz w:val="17"/>
                <w:szCs w:val="17"/>
              </w:rPr>
              <w:t xml:space="preserve">Ce que Filum implémente</w:t>
            </w:r>
          </w:p>
        </w:tc>
        <w:tc>
          <w:tcPr>
            <w:tcW w:type="pct" w:w="27%"/>
            <w:shd w:fill="E0E7FF"/>
            <w:tcMar>
              <w:top w:type="dxa" w:w="80"/>
              <w:left w:type="dxa" w:w="110"/>
              <w:bottom w:type="dxa" w:w="80"/>
              <w:right w:type="dxa" w:w="110"/>
            </w:tcMar>
          </w:tcPr>
          <w:p>
            <w:pPr>
              <w:spacing w:after="0"/>
            </w:pPr>
            <w:r>
              <w:rPr>
                <w:b/>
                <w:bCs/>
                <w:sz w:val="17"/>
                <w:szCs w:val="17"/>
              </w:rPr>
              <w:t xml:space="preserve">Ce qui relève de votre organisation</w:t>
            </w:r>
          </w:p>
        </w:tc>
      </w:tr>
      <w:tr>
        <w:tc>
          <w:tcPr>
            <w:tcW w:type="pct" w:w="13%"/>
            <w:shd w:fill="FEF3C7"/>
            <w:tcMar>
              <w:top w:type="dxa" w:w="80"/>
              <w:left w:type="dxa" w:w="110"/>
              <w:bottom w:type="dxa" w:w="80"/>
              <w:right w:type="dxa" w:w="110"/>
            </w:tcMar>
          </w:tcPr>
          <w:p>
            <w:pPr>
              <w:spacing w:after="60"/>
            </w:pPr>
            <w:r>
              <w:rPr>
                <w:b/>
                <w:bCs/>
                <w:color w:val="4338CA"/>
                <w:sz w:val="17"/>
                <w:szCs w:val="17"/>
              </w:rPr>
              <w:t xml:space="preserve">11.10(a)</w:t>
            </w:r>
          </w:p>
          <w:p>
            <w:pPr>
              <w:spacing w:after="0"/>
            </w:pPr>
            <w:r>
              <w:rPr>
                <w:b/>
                <w:bCs/>
                <w:color w:val="B45309"/>
                <w:sz w:val="15"/>
                <w:szCs w:val="15"/>
              </w:rPr>
              <w:t xml:space="preserve">Partiel</w:t>
            </w:r>
          </w:p>
        </w:tc>
        <w:tc>
          <w:tcPr>
            <w:tcW w:type="pct" w:w="26%"/>
            <w:tcMar>
              <w:top w:type="dxa" w:w="80"/>
              <w:left w:type="dxa" w:w="110"/>
              <w:bottom w:type="dxa" w:w="80"/>
              <w:right w:type="dxa" w:w="110"/>
            </w:tcMar>
          </w:tcPr>
          <w:p>
            <w:pPr>
              <w:spacing w:after="0"/>
            </w:pPr>
            <w:r>
              <w:rPr>
                <w:sz w:val="17"/>
                <w:szCs w:val="17"/>
              </w:rPr>
              <w:t xml:space="preserve">Valider le système pour garantir exactitude, fiabilité, performance constante, et l'aptitude à discerner les enregistrements invalides ou altérés.</w:t>
            </w:r>
          </w:p>
        </w:tc>
        <w:tc>
          <w:tcPr>
            <w:tcW w:type="pct" w:w="34%"/>
            <w:tcMar>
              <w:top w:type="dxa" w:w="80"/>
              <w:left w:type="dxa" w:w="110"/>
              <w:bottom w:type="dxa" w:w="80"/>
              <w:right w:type="dxa" w:w="110"/>
            </w:tcMar>
          </w:tcPr>
          <w:p>
            <w:pPr>
              <w:spacing w:after="0"/>
            </w:pPr>
            <w:r>
              <w:rPr>
                <w:sz w:val="17"/>
                <w:szCs w:val="17"/>
              </w:rPr>
              <w:t xml:space="preserve">Contrôles fonctionnels intégrés : machine à états documentaire vérifiée côté serveur, refus d'écriture dans un document gelé, refus de publication sans signature, aperçu à blanc obligatoire avant tout import. Le moteur statistique CLSI est couvert par une suite de vecteurs de test rejouable.</w:t>
            </w:r>
          </w:p>
        </w:tc>
        <w:tc>
          <w:tcPr>
            <w:tcW w:type="pct" w:w="27%"/>
            <w:tcMar>
              <w:top w:type="dxa" w:w="80"/>
              <w:left w:type="dxa" w:w="110"/>
              <w:bottom w:type="dxa" w:w="80"/>
              <w:right w:type="dxa" w:w="110"/>
            </w:tcMar>
          </w:tcPr>
          <w:p>
            <w:pPr>
              <w:spacing w:after="0"/>
            </w:pPr>
            <w:r>
              <w:rPr>
                <w:sz w:val="17"/>
                <w:szCs w:val="17"/>
              </w:rPr>
              <w:t xml:space="preserve">La qualification d'installation et opérationnelle (IQ/OQ/PQ) dans VOTRE environnement, la décision de criticité du système et la politique de revalidation après mise à jour. Filum est livré en image Docker auto-hébergée : les migrations de schéma s'appliquent au démarrage du conteneur, les contrôles post-migration relèvent de vos procédures.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11.10(b)</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Produire des copies exactes et complètes des enregistrements, sous forme lisible et sous forme électronique, exploitables pour inspection et copie par l'agence.</w:t>
            </w:r>
          </w:p>
        </w:tc>
        <w:tc>
          <w:tcPr>
            <w:tcW w:type="pct" w:w="34%"/>
            <w:tcMar>
              <w:top w:type="dxa" w:w="80"/>
              <w:left w:type="dxa" w:w="110"/>
              <w:bottom w:type="dxa" w:w="80"/>
              <w:right w:type="dxa" w:w="110"/>
            </w:tcMar>
          </w:tcPr>
          <w:p>
            <w:pPr>
              <w:spacing w:after="0"/>
            </w:pPr>
            <w:r>
              <w:rPr>
                <w:sz w:val="17"/>
                <w:szCs w:val="17"/>
              </w:rPr>
              <w:t xml:space="preserve">Le contenu d'un document est GELÉ à sa mise en revue : Filum en conserve le fichier .docx octet pour octet, avec l'empreinte SHA-256 du contenu projeté. Le téléchargement sert ces octets conservés, jamais une régénération ; leur empreinte est re-vérifiée à chaque service et un fichier altéré sur disque est refusé au lieu d'être servi. La publication ajoute les manifestations de signature après avoir contrôlé que le contenu n'a pas bougé depuis le gel. La projection vive reste accessible et porte alors, en première page, la mention « VUE DE TRAVAIL — ce fichier n'est pas l'enregistrement approuvé ». Autres exports générés depuis la base, authentifiés et journalisés : DHF, dossier de gestion des risques, fiche de non-conformité, rapport CAPA, matrice de traçabilité en CSV, piste d'audit en CSV, et téléchargement octet pour octet des fichiers de données originaux.</w:t>
            </w:r>
          </w:p>
        </w:tc>
        <w:tc>
          <w:tcPr>
            <w:tcW w:type="pct" w:w="27%"/>
            <w:tcMar>
              <w:top w:type="dxa" w:w="80"/>
              <w:left w:type="dxa" w:w="110"/>
              <w:bottom w:type="dxa" w:w="80"/>
              <w:right w:type="dxa" w:w="110"/>
            </w:tcMar>
          </w:tcPr>
          <w:p>
            <w:pPr>
              <w:spacing w:after="0"/>
            </w:pPr>
            <w:r>
              <w:rPr>
                <w:sz w:val="17"/>
                <w:szCs w:val="17"/>
              </w:rPr>
              <w:t xml:space="preserve">Décider du format remis à l'inspecteur et de sa conservation hors du système le cas échéant. Sauvegarder le volume de fichiers au même titre que la base : les enregistrements figés y vivent.</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11.10(c)</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Protéger les enregistrements pour permettre leur restitution exacte et prête pendant toute la durée de rétention.</w:t>
            </w:r>
          </w:p>
        </w:tc>
        <w:tc>
          <w:tcPr>
            <w:tcW w:type="pct" w:w="34%"/>
            <w:tcMar>
              <w:top w:type="dxa" w:w="80"/>
              <w:left w:type="dxa" w:w="110"/>
              <w:bottom w:type="dxa" w:w="80"/>
              <w:right w:type="dxa" w:w="110"/>
            </w:tcMar>
          </w:tcPr>
          <w:p>
            <w:pPr>
              <w:spacing w:after="0"/>
            </w:pPr>
            <w:r>
              <w:rPr>
                <w:sz w:val="17"/>
                <w:szCs w:val="17"/>
              </w:rPr>
              <w:t xml:space="preserve">Aucune purge, aucune expiration, aucune suppression automatique : un enregistrement figé entre et ne sort pas, gels dépassés compris. Un document publié ou portant une signature ne peut pas être supprimé — la voie conforme est la révision ; les suppressions autorisées exigent le rôle Administrateur ET un motif, et conservent un instantané complet dans la piste d'audit. La durée de conservation se DÉCLARE (durée, fondement, référence de votre procédure) et se reporte en échéance sur chaque enregistrement archivé, sans jamais déclencher de purge. Une archive d'inspection restitue les octets figés, une COPIE D'ARCHIVAGE PDF/A-2b de chaque enregistrement à côté de lui, un manifeste, les exports du dossier, la piste d'audit complète et un fichier d'empreintes au format sha256sum : elle se vérifie sans Filum, avec l'outil du système d'exploitation. La copie PDF/A embarque sa police et son profil colorimétrique, porte les deux empreintes de l'enregistrement, et énonce qu'elle n'est PAS l'enregistrement — la signature porte sur l'empreinte du contenu gelé, pas sur ce rendu. Un enregistrement altéré sur disque y est marqué ALTÉRÉ et conservé, jamais retiré en silence. Une conservation légale suspend toute suppression dans l'installation, y compris la purge des fichiers d'import lancée depuis la console. L'ancre de l'archive est soumise à l'autorité d'horodatage configurée par le client, qui renvoie un jeton RFC 3161 contresignant la date d'existence de cette empreinte ; Filum contrôle que le jeton atteste bien cette empreinte et le nonce demandé, le conserve tel quel dans l'archive et donne la commande openssl qui le vérifie. Une autorité injoignable ne bloque jamais l'extraction : l'archive est produite sans jeton et le dit.</w:t>
            </w:r>
          </w:p>
        </w:tc>
        <w:tc>
          <w:tcPr>
            <w:tcW w:type="pct" w:w="27%"/>
            <w:tcMar>
              <w:top w:type="dxa" w:w="80"/>
              <w:left w:type="dxa" w:w="110"/>
              <w:bottom w:type="dxa" w:w="80"/>
              <w:right w:type="dxa" w:w="110"/>
            </w:tcMar>
          </w:tcPr>
          <w:p>
            <w:pPr>
              <w:spacing w:after="0"/>
            </w:pPr>
            <w:r>
              <w:rPr>
                <w:sz w:val="17"/>
                <w:szCs w:val="17"/>
              </w:rPr>
              <w:t xml:space="preserve">Décider la durée applicable — ISO 13485 § 4.2.5 (au moins la durée de vie du dispositif que vous définissez, jamais moins de deux ans après sa libération ; c'est aussi la règle américaine depuis que la QMSR a supprimé le § 820.180 en février 2026) et, sur le marché européen, MDR art. 10(8) — et la saisir dans les réglages ; produire une archive aux moments qui comptent — revue de direction, mise à jour majeure, clôture de programme, décommissionnement — et consigner l'empreinte de sa liste d'empreintes hors du système ; conserver l'archive sur un support qui survit au serveur ; poser la conservation légale quand votre procédure l'exige. Les données résident sur votre infrastructure, dans deux volumes Docker, dont la sauvegarde conjointe reste la copie complète du système.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11.10(d)</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Limiter l'accès au système aux seules personnes autorisées.</w:t>
            </w:r>
          </w:p>
        </w:tc>
        <w:tc>
          <w:tcPr>
            <w:tcW w:type="pct" w:w="34%"/>
            <w:tcMar>
              <w:top w:type="dxa" w:w="80"/>
              <w:left w:type="dxa" w:w="110"/>
              <w:bottom w:type="dxa" w:w="80"/>
              <w:right w:type="dxa" w:w="110"/>
            </w:tcMar>
          </w:tcPr>
          <w:p>
            <w:pPr>
              <w:spacing w:after="0"/>
            </w:pPr>
            <w:r>
              <w:rPr>
                <w:sz w:val="17"/>
                <w:szCs w:val="17"/>
              </w:rPr>
              <w:t xml:space="preserve">Authentification obligatoire sur chaque page et chaque route d'export, sans exception. Session en base à jeton opaque, cookie httpOnly marqué secure derrière TLS, durée réglable à l'installation, révoquée à la désactivation d'un compte, à l'émission d'un jeton de réinitialisation et au changement de mot de passe. Mots de passe hachés par scrypt avec sel aléatoire et comparaison à temps constant.</w:t>
            </w:r>
          </w:p>
        </w:tc>
        <w:tc>
          <w:tcPr>
            <w:tcW w:type="pct" w:w="27%"/>
            <w:tcMar>
              <w:top w:type="dxa" w:w="80"/>
              <w:left w:type="dxa" w:w="110"/>
              <w:bottom w:type="dxa" w:w="80"/>
              <w:right w:type="dxa" w:w="110"/>
            </w:tcMar>
          </w:tcPr>
          <w:p>
            <w:pPr>
              <w:spacing w:after="0"/>
            </w:pPr>
            <w:r>
              <w:rPr>
                <w:sz w:val="17"/>
                <w:szCs w:val="17"/>
              </w:rPr>
              <w:t xml:space="preserve">Attribution nominative des comptes, interdiction de partage, revue périodique des accès, retrait à la sortie d'un collaborateur, et sécurité de l'infrastructure d'hébergement (TLS, réseau, poste de travail).</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11.10(e)</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Piste d'audit générée par ordinateur, horodatée, sécurisée, enregistrant les créations, modifications et suppressions, sans masquer les valeurs antérieures, conservée aussi longtemps que l'enregistrement et disponible pour revue et copie.</w:t>
            </w:r>
          </w:p>
        </w:tc>
        <w:tc>
          <w:tcPr>
            <w:tcW w:type="pct" w:w="34%"/>
            <w:tcMar>
              <w:top w:type="dxa" w:w="80"/>
              <w:left w:type="dxa" w:w="110"/>
              <w:bottom w:type="dxa" w:w="80"/>
              <w:right w:type="dxa" w:w="110"/>
            </w:tcMar>
          </w:tcPr>
          <w:p>
            <w:pPr>
              <w:spacing w:after="0"/>
            </w:pPr>
            <w:r>
              <w:rPr>
                <w:sz w:val="17"/>
                <w:szCs w:val="17"/>
              </w:rPr>
              <w:t xml:space="preserve">Horodatage posé par la base, jamais par l'utilisateur : aucun formulaire ni paramètre ne peut porter une date. La piste est en écriture seule dans l'application — aucune fonction ne modifie ni ne supprime une entrée ; une annulation ciblée crée une NOUVELLE entrée. Les valeurs antérieures sont enregistrées à la modification. Chaque écriture porte le nom de son auteur, import en masse compris (une entrée par ligne importée). Consultation filtrable par acteur, période, entité et action, et export CSV complet — l'export est lui-même journalisé. Chaque entrée porte en outre l'empreinte de la précédente : l'écran du journal vérifie la chaîne à chaque affichage et signale toute rupture avec son rang, l'export CSV emporte le rang et les deux empreintes de chaque entrée, si bien que la chaîne se recalcule hors de Filum à partir du seul fichier. Toute écriture dans la piste passe par un point de passage unique ; les deux outils privilégiés de la console serveur utilisent une implémentation miroir dont un cas de qualification prouve l'équivalence. Le récit de chaque entrée est enfin RELISIBLE dans la langue du lecteur : l'entrée porte la clé de son message et ses arguments — tous deux couverts par l'empreinte — et le texte se rend à l'affichage, à l'export et dans l'archive. Les entrées inscrites avant cette version gardent leur langue d'origine : un enregistrement ne se réécrit pas. La piste est enfin REVUE, et la revue est un enregistrement signé : chaque revue couvre une plage de RANGS — jamais de dates — et commence exactement au rang qui suit la précédente, si bien qu'aucune entrée ne peut s'écrire dans l'intervalle entre deux revues ; toute lacune de couverture est calculée et affichée. Des règles de triage risque-fondées désignent les entrées à lire une à une (sécurité, suppression, annulation, habilitations, réglages de l'organisation, sortie de données, import en masse, réouverture d'un enregistrement publié, revue défaite, écriture non attribuée) ; le reste est compté, et l'enregistrement le dit ainsi plutôt que de laisser croire à une lecture ligne à ligne. Chaque entrée retenue reçoit un verdict motivé, la clôture exige la ressaisie du mot de passe et recopie l'empreinte du contenu revu, et l'écart entre le dernier rang couvert et la tête de piste est affiché en permanence sur l'écran du journal.</w:t>
            </w:r>
          </w:p>
        </w:tc>
        <w:tc>
          <w:tcPr>
            <w:tcW w:type="pct" w:w="27%"/>
            <w:tcMar>
              <w:top w:type="dxa" w:w="80"/>
              <w:left w:type="dxa" w:w="110"/>
              <w:bottom w:type="dxa" w:w="80"/>
              <w:right w:type="dxa" w:w="110"/>
            </w:tcMar>
          </w:tcPr>
          <w:p>
            <w:pPr>
              <w:spacing w:after="0"/>
            </w:pPr>
            <w:r>
              <w:rPr>
                <w:sz w:val="17"/>
                <w:szCs w:val="17"/>
              </w:rPr>
              <w:t xml:space="preserve">Inclure la piste d'audit dans le périmètre de sauvegarde et en interdire l'accès direct à la base hors application. Déclarer la FRÉQUENCE de revue — Filum n'en impose aucune, la bonne période dépendant de votre volume d'activité — et porter le jugement : Filum présente et consigne, il ne sait pas distinguer une modification légitime d'une modification suspecte. Décider aussi si l'indépendance du relecteur est suffisante : elle est mesurée et consignée sur chaque revue, jamais imposée.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11.10(f)</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Contrôles opérationnels imposant le séquencement des étapes et des événements.</w:t>
            </w:r>
          </w:p>
        </w:tc>
        <w:tc>
          <w:tcPr>
            <w:tcW w:type="pct" w:w="34%"/>
            <w:tcMar>
              <w:top w:type="dxa" w:w="80"/>
              <w:left w:type="dxa" w:w="110"/>
              <w:bottom w:type="dxa" w:w="80"/>
              <w:right w:type="dxa" w:w="110"/>
            </w:tcMar>
          </w:tcPr>
          <w:p>
            <w:pPr>
              <w:spacing w:after="0"/>
            </w:pPr>
            <w:r>
              <w:rPr>
                <w:sz w:val="17"/>
                <w:szCs w:val="17"/>
              </w:rPr>
              <w:t xml:space="preserve">Cycle de vie documentaire à états contrôlés côté serveur : Brouillon → En revue → Publié, sans chemin direct. Publier exige au moins une signature apposée, aucune signature manquante et aucun commentaire ouvert. Tout retour en arrière (renvoi en brouillon, nouvelle révision) invalide les signatures et exige une justification. Le statut et la révision ne sont pas réécrivables par annulation ciblée.</w:t>
            </w:r>
          </w:p>
        </w:tc>
        <w:tc>
          <w:tcPr>
            <w:tcW w:type="pct" w:w="27%"/>
            <w:tcMar>
              <w:top w:type="dxa" w:w="80"/>
              <w:left w:type="dxa" w:w="110"/>
              <w:bottom w:type="dxa" w:w="80"/>
              <w:right w:type="dxa" w:w="110"/>
            </w:tcMar>
          </w:tcPr>
          <w:p>
            <w:pPr>
              <w:spacing w:after="0"/>
            </w:pPr>
            <w:r>
              <w:rPr>
                <w:sz w:val="17"/>
                <w:szCs w:val="17"/>
              </w:rPr>
              <w:t xml:space="preserve">Définir dans vos procédures qui demande, qui revoit et qui approuve chaque type de document.</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11.10(g)</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Contrôles d'autorité : seules les personnes autorisées peuvent utiliser le système, signer, accéder à une opération ou modifier un enregistrement.</w:t>
            </w:r>
          </w:p>
        </w:tc>
        <w:tc>
          <w:tcPr>
            <w:tcW w:type="pct" w:w="34%"/>
            <w:tcMar>
              <w:top w:type="dxa" w:w="80"/>
              <w:left w:type="dxa" w:w="110"/>
              <w:bottom w:type="dxa" w:w="80"/>
              <w:right w:type="dxa" w:w="110"/>
            </w:tcMar>
          </w:tcPr>
          <w:p>
            <w:pPr>
              <w:spacing w:after="0"/>
            </w:pPr>
            <w:r>
              <w:rPr>
                <w:sz w:val="17"/>
                <w:szCs w:val="17"/>
              </w:rPr>
              <w:t xml:space="preserve">Quatre rôles ordonnés (Lecteur, Éditeur, Approbateur, Administrateur). La garde est posée CÔTÉ SERVEUR en première instruction de chaque action, pas seulement dans l'interface : masquer un bouton ne protège rien. Élévations contextuelles pour les gestes sensibles (renumérotation, suppression, transitions CAPA). Un Lecteur ne peut pas signer, et une signature ne peut être demandée qu'à un compte actif disposant d'un accès.</w:t>
            </w:r>
          </w:p>
        </w:tc>
        <w:tc>
          <w:tcPr>
            <w:tcW w:type="pct" w:w="27%"/>
            <w:tcMar>
              <w:top w:type="dxa" w:w="80"/>
              <w:left w:type="dxa" w:w="110"/>
              <w:bottom w:type="dxa" w:w="80"/>
              <w:right w:type="dxa" w:w="110"/>
            </w:tcMar>
          </w:tcPr>
          <w:p>
            <w:pPr>
              <w:spacing w:after="0"/>
            </w:pPr>
            <w:r>
              <w:rPr>
                <w:sz w:val="17"/>
                <w:szCs w:val="17"/>
              </w:rPr>
              <w:t xml:space="preserve">Définir la correspondance entre vos fonctions qualité et les quatre rôles, et la faire approuver.</w:t>
            </w:r>
          </w:p>
        </w:tc>
      </w:tr>
      <w:tr>
        <w:tc>
          <w:tcPr>
            <w:tcW w:type="pct" w:w="13%"/>
            <w:shd w:fill="FEF3C7"/>
            <w:tcMar>
              <w:top w:type="dxa" w:w="80"/>
              <w:left w:type="dxa" w:w="110"/>
              <w:bottom w:type="dxa" w:w="80"/>
              <w:right w:type="dxa" w:w="110"/>
            </w:tcMar>
          </w:tcPr>
          <w:p>
            <w:pPr>
              <w:spacing w:after="60"/>
            </w:pPr>
            <w:r>
              <w:rPr>
                <w:b/>
                <w:bCs/>
                <w:color w:val="4338CA"/>
                <w:sz w:val="17"/>
                <w:szCs w:val="17"/>
              </w:rPr>
              <w:t xml:space="preserve">11.10(h)</w:t>
            </w:r>
          </w:p>
          <w:p>
            <w:pPr>
              <w:spacing w:after="0"/>
            </w:pPr>
            <w:r>
              <w:rPr>
                <w:b/>
                <w:bCs/>
                <w:color w:val="B45309"/>
                <w:sz w:val="15"/>
                <w:szCs w:val="15"/>
              </w:rPr>
              <w:t xml:space="preserve">Partiel</w:t>
            </w:r>
          </w:p>
        </w:tc>
        <w:tc>
          <w:tcPr>
            <w:tcW w:type="pct" w:w="26%"/>
            <w:tcMar>
              <w:top w:type="dxa" w:w="80"/>
              <w:left w:type="dxa" w:w="110"/>
              <w:bottom w:type="dxa" w:w="80"/>
              <w:right w:type="dxa" w:w="110"/>
            </w:tcMar>
          </w:tcPr>
          <w:p>
            <w:pPr>
              <w:spacing w:after="0"/>
            </w:pPr>
            <w:r>
              <w:rPr>
                <w:sz w:val="17"/>
                <w:szCs w:val="17"/>
              </w:rPr>
              <w:t xml:space="preserve">Contrôles de dispositif vérifiant la validité de la source des données ou des instructions, lorsqu'il y a lieu.</w:t>
            </w:r>
          </w:p>
        </w:tc>
        <w:tc>
          <w:tcPr>
            <w:tcW w:type="pct" w:w="34%"/>
            <w:tcMar>
              <w:top w:type="dxa" w:w="80"/>
              <w:left w:type="dxa" w:w="110"/>
              <w:bottom w:type="dxa" w:w="80"/>
              <w:right w:type="dxa" w:w="110"/>
            </w:tcMar>
          </w:tcPr>
          <w:p>
            <w:pPr>
              <w:spacing w:after="0"/>
            </w:pPr>
            <w:r>
              <w:rPr>
                <w:sz w:val="17"/>
                <w:szCs w:val="17"/>
              </w:rPr>
              <w:t xml:space="preserve">Les données d'essai importées conservent leur fichier source original, téléchargeable octet pour octet, et son téléchargement est journalisé. La reprise de données par fichier passe par un aperçu à blanc obligatoire qui refuse les lignes non conformes avant toute écriture.</w:t>
            </w:r>
          </w:p>
        </w:tc>
        <w:tc>
          <w:tcPr>
            <w:tcW w:type="pct" w:w="27%"/>
            <w:tcMar>
              <w:top w:type="dxa" w:w="80"/>
              <w:left w:type="dxa" w:w="110"/>
              <w:bottom w:type="dxa" w:w="80"/>
              <w:right w:type="dxa" w:w="110"/>
            </w:tcMar>
          </w:tcPr>
          <w:p>
            <w:pPr>
              <w:spacing w:after="0"/>
            </w:pPr>
            <w:r>
              <w:rPr>
                <w:sz w:val="17"/>
                <w:szCs w:val="17"/>
              </w:rPr>
              <w:t xml:space="preserve">Vérifier l'origine des fichiers déposés et la calibration des instruments qui les produisent. Filum n'interroge aucun instrument directement.</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11.10(i)</w:t>
            </w:r>
          </w:p>
          <w:p>
            <w:pPr>
              <w:spacing w:after="0"/>
            </w:pPr>
            <w:r>
              <w:rPr>
                <w:b/>
                <w:bCs/>
                <w:color w:val="1D4ED8"/>
                <w:sz w:val="15"/>
                <w:szCs w:val="15"/>
              </w:rPr>
              <w:t xml:space="preserve">Votre organisation</w:t>
            </w:r>
          </w:p>
        </w:tc>
        <w:tc>
          <w:tcPr>
            <w:tcW w:type="pct" w:w="26%"/>
            <w:tcMar>
              <w:top w:type="dxa" w:w="80"/>
              <w:left w:type="dxa" w:w="110"/>
              <w:bottom w:type="dxa" w:w="80"/>
              <w:right w:type="dxa" w:w="110"/>
            </w:tcMar>
          </w:tcPr>
          <w:p>
            <w:pPr>
              <w:spacing w:after="0"/>
            </w:pPr>
            <w:r>
              <w:rPr>
                <w:sz w:val="17"/>
                <w:szCs w:val="17"/>
              </w:rPr>
              <w:t xml:space="preserve">Les personnes qui développent, exploitent ou utilisent le système ont la formation et l'expérience requises.</w:t>
            </w:r>
          </w:p>
        </w:tc>
        <w:tc>
          <w:tcPr>
            <w:tcW w:type="pct" w:w="34%"/>
            <w:tcMar>
              <w:top w:type="dxa" w:w="80"/>
              <w:left w:type="dxa" w:w="110"/>
              <w:bottom w:type="dxa" w:w="80"/>
              <w:right w:type="dxa" w:w="110"/>
            </w:tcMar>
          </w:tcPr>
          <w:p>
            <w:pPr>
              <w:spacing w:after="0"/>
            </w:pPr>
            <w:r>
              <w:rPr>
                <w:sz w:val="17"/>
                <w:szCs w:val="17"/>
              </w:rPr>
              <w:t xml:space="preserve">Filum ne modélise ni formation, ni habilitation : le rôle attribué confère des privilèges, il n'atteste d'aucune qualification. Le logiciel fournit en revanche la preuve de qui a eu le droit de faire quoi et depuis quand — liste nominative des comptes avec rôle et état, entrées d'audit datées de création de compte et de changement de rôle, journal des connexions.</w:t>
            </w:r>
          </w:p>
        </w:tc>
        <w:tc>
          <w:tcPr>
            <w:tcW w:type="pct" w:w="27%"/>
            <w:tcMar>
              <w:top w:type="dxa" w:w="80"/>
              <w:left w:type="dxa" w:w="110"/>
              <w:bottom w:type="dxa" w:w="80"/>
              <w:right w:type="dxa" w:w="110"/>
            </w:tcMar>
          </w:tcPr>
          <w:p>
            <w:pPr>
              <w:spacing w:after="0"/>
            </w:pPr>
            <w:r>
              <w:rPr>
                <w:sz w:val="17"/>
                <w:szCs w:val="17"/>
              </w:rPr>
              <w:t xml:space="preserve">Dossiers de formation, fiches de poste, preuves d'expérience et habilitation à l'usage de Filum.</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11.10(j)</w:t>
            </w:r>
          </w:p>
          <w:p>
            <w:pPr>
              <w:spacing w:after="0"/>
            </w:pPr>
            <w:r>
              <w:rPr>
                <w:b/>
                <w:bCs/>
                <w:color w:val="1D4ED8"/>
                <w:sz w:val="15"/>
                <w:szCs w:val="15"/>
              </w:rPr>
              <w:t xml:space="preserve">Votre organisation</w:t>
            </w:r>
          </w:p>
        </w:tc>
        <w:tc>
          <w:tcPr>
            <w:tcW w:type="pct" w:w="26%"/>
            <w:tcMar>
              <w:top w:type="dxa" w:w="80"/>
              <w:left w:type="dxa" w:w="110"/>
              <w:bottom w:type="dxa" w:w="80"/>
              <w:right w:type="dxa" w:w="110"/>
            </w:tcMar>
          </w:tcPr>
          <w:p>
            <w:pPr>
              <w:spacing w:after="0"/>
            </w:pPr>
            <w:r>
              <w:rPr>
                <w:sz w:val="17"/>
                <w:szCs w:val="17"/>
              </w:rPr>
              <w:t xml:space="preserve">Politique écrite tenant les personnes responsables des actions initiées sous leur signature électronique.</w:t>
            </w:r>
          </w:p>
        </w:tc>
        <w:tc>
          <w:tcPr>
            <w:tcW w:type="pct" w:w="34%"/>
            <w:tcMar>
              <w:top w:type="dxa" w:w="80"/>
              <w:left w:type="dxa" w:w="110"/>
              <w:bottom w:type="dxa" w:w="80"/>
              <w:right w:type="dxa" w:w="110"/>
            </w:tcMar>
          </w:tcPr>
          <w:p>
            <w:pPr>
              <w:spacing w:after="0"/>
            </w:pPr>
            <w:r>
              <w:rPr>
                <w:sz w:val="17"/>
                <w:szCs w:val="17"/>
              </w:rPr>
              <w:t xml:space="preserve">Une politique écrite ne peut pas être remplacée par du logiciel. Filum en fournit le support probatoire : attribution nominative de chaque écriture, impossibilité de signer à la place d'autrui, ré-authentification par mot de passe à chaque signature, expiration et révocation des sessions.</w:t>
            </w:r>
          </w:p>
        </w:tc>
        <w:tc>
          <w:tcPr>
            <w:tcW w:type="pct" w:w="27%"/>
            <w:tcMar>
              <w:top w:type="dxa" w:w="80"/>
              <w:left w:type="dxa" w:w="110"/>
              <w:bottom w:type="dxa" w:w="80"/>
              <w:right w:type="dxa" w:w="110"/>
            </w:tcMar>
          </w:tcPr>
          <w:p>
            <w:pPr>
              <w:spacing w:after="0"/>
            </w:pPr>
            <w:r>
              <w:rPr>
                <w:sz w:val="17"/>
                <w:szCs w:val="17"/>
              </w:rPr>
              <w:t xml:space="preserve">Rédiger et faire signer la politique de responsabilisation, y compris les règles de garde de session et l'interdiction de partager un compte.</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11.10(k)</w:t>
            </w:r>
          </w:p>
          <w:p>
            <w:pPr>
              <w:spacing w:after="0"/>
            </w:pPr>
            <w:r>
              <w:rPr>
                <w:b/>
                <w:bCs/>
                <w:color w:val="1D4ED8"/>
                <w:sz w:val="15"/>
                <w:szCs w:val="15"/>
              </w:rPr>
              <w:t xml:space="preserve">Votre organisation</w:t>
            </w:r>
          </w:p>
        </w:tc>
        <w:tc>
          <w:tcPr>
            <w:tcW w:type="pct" w:w="26%"/>
            <w:tcMar>
              <w:top w:type="dxa" w:w="80"/>
              <w:left w:type="dxa" w:w="110"/>
              <w:bottom w:type="dxa" w:w="80"/>
              <w:right w:type="dxa" w:w="110"/>
            </w:tcMar>
          </w:tcPr>
          <w:p>
            <w:pPr>
              <w:spacing w:after="0"/>
            </w:pPr>
            <w:r>
              <w:rPr>
                <w:sz w:val="17"/>
                <w:szCs w:val="17"/>
              </w:rPr>
              <w:t xml:space="preserve">Contrôles de la documentation du système : distribution, accès, révision, et piste d'audit des modifications de cette documentation.</w:t>
            </w:r>
          </w:p>
        </w:tc>
        <w:tc>
          <w:tcPr>
            <w:tcW w:type="pct" w:w="34%"/>
            <w:tcMar>
              <w:top w:type="dxa" w:w="80"/>
              <w:left w:type="dxa" w:w="110"/>
              <w:bottom w:type="dxa" w:w="80"/>
              <w:right w:type="dxa" w:w="110"/>
            </w:tcMar>
          </w:tcPr>
          <w:p>
            <w:pPr>
              <w:spacing w:after="0"/>
            </w:pPr>
            <w:r>
              <w:rPr>
                <w:sz w:val="17"/>
                <w:szCs w:val="17"/>
              </w:rPr>
              <w:t xml:space="preserve">Le manuel utilisateur, le guide d'installation et la présente matrice sont livrés hors application, versionnés par l'éditeur et fournis avec chaque version.</w:t>
            </w:r>
          </w:p>
        </w:tc>
        <w:tc>
          <w:tcPr>
            <w:tcW w:type="pct" w:w="27%"/>
            <w:tcMar>
              <w:top w:type="dxa" w:w="80"/>
              <w:left w:type="dxa" w:w="110"/>
              <w:bottom w:type="dxa" w:w="80"/>
              <w:right w:type="dxa" w:w="110"/>
            </w:tcMar>
          </w:tcPr>
          <w:p>
            <w:pPr>
              <w:spacing w:after="0"/>
            </w:pPr>
            <w:r>
              <w:rPr>
                <w:sz w:val="17"/>
                <w:szCs w:val="17"/>
              </w:rPr>
              <w:t xml:space="preserve">Diffusion contrôlée de cette documentation, retrait des versions périmées, et application de votre procédure de maîtrise documentaire.</w:t>
            </w:r>
          </w:p>
        </w:tc>
      </w:tr>
      <w:tr>
        <w:tc>
          <w:tcPr>
            <w:tcW w:type="pct" w:w="13%"/>
            <w:shd w:fill="F1F5F9"/>
            <w:tcMar>
              <w:top w:type="dxa" w:w="80"/>
              <w:left w:type="dxa" w:w="110"/>
              <w:bottom w:type="dxa" w:w="80"/>
              <w:right w:type="dxa" w:w="110"/>
            </w:tcMar>
          </w:tcPr>
          <w:p>
            <w:pPr>
              <w:spacing w:after="60"/>
            </w:pPr>
            <w:r>
              <w:rPr>
                <w:b/>
                <w:bCs/>
                <w:color w:val="4338CA"/>
                <w:sz w:val="17"/>
                <w:szCs w:val="17"/>
              </w:rPr>
              <w:t xml:space="preserve">11.30</w:t>
            </w:r>
          </w:p>
          <w:p>
            <w:pPr>
              <w:spacing w:after="0"/>
            </w:pPr>
            <w:r>
              <w:rPr>
                <w:b/>
                <w:bCs/>
                <w:color w:val="475569"/>
                <w:sz w:val="15"/>
                <w:szCs w:val="15"/>
              </w:rPr>
              <w:t xml:space="preserve">Hors périmètre</w:t>
            </w:r>
          </w:p>
        </w:tc>
        <w:tc>
          <w:tcPr>
            <w:tcW w:type="pct" w:w="26%"/>
            <w:tcMar>
              <w:top w:type="dxa" w:w="80"/>
              <w:left w:type="dxa" w:w="110"/>
              <w:bottom w:type="dxa" w:w="80"/>
              <w:right w:type="dxa" w:w="110"/>
            </w:tcMar>
          </w:tcPr>
          <w:p>
            <w:pPr>
              <w:spacing w:after="0"/>
            </w:pPr>
            <w:r>
              <w:rPr>
                <w:sz w:val="17"/>
                <w:szCs w:val="17"/>
              </w:rPr>
              <w:t xml:space="preserve">Contrôles supplémentaires pour les systèmes ouverts.</w:t>
            </w:r>
          </w:p>
        </w:tc>
        <w:tc>
          <w:tcPr>
            <w:tcW w:type="pct" w:w="34%"/>
            <w:tcMar>
              <w:top w:type="dxa" w:w="80"/>
              <w:left w:type="dxa" w:w="110"/>
              <w:bottom w:type="dxa" w:w="80"/>
              <w:right w:type="dxa" w:w="110"/>
            </w:tcMar>
          </w:tcPr>
          <w:p>
            <w:pPr>
              <w:spacing w:after="0"/>
            </w:pPr>
            <w:r>
              <w:rPr>
                <w:sz w:val="17"/>
                <w:szCs w:val="17"/>
              </w:rPr>
              <w:t xml:space="preserve">Filum est conçu pour un déploiement fermé : instance auto-hébergée sur votre infrastructure, accès réservé aux comptes que vous créez, aucune dépendance à un service tiers pour l'accès aux enregistrements.</w:t>
            </w:r>
          </w:p>
        </w:tc>
        <w:tc>
          <w:tcPr>
            <w:tcW w:type="pct" w:w="27%"/>
            <w:tcMar>
              <w:top w:type="dxa" w:w="80"/>
              <w:left w:type="dxa" w:w="110"/>
              <w:bottom w:type="dxa" w:w="80"/>
              <w:right w:type="dxa" w:w="110"/>
            </w:tcMar>
          </w:tcPr>
          <w:p>
            <w:pPr>
              <w:spacing w:after="0"/>
            </w:pPr>
            <w:r>
              <w:rPr>
                <w:sz w:val="17"/>
                <w:szCs w:val="17"/>
              </w:rPr>
              <w:t xml:space="preserve">Si vous exposez l'instance hors de votre réseau de confiance, le chiffrement en transit et les contrôles d'accès périmétriques relèvent de votre infrastructure. Un système ouvert appellerait des contrôles supplémentaires à définir avec nous.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11.50</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L'enregistrement signé fait apparaître le nom imprimé du signataire, la date et l'heure de la signature, et la signification de celle-ci.</w:t>
            </w:r>
          </w:p>
        </w:tc>
        <w:tc>
          <w:tcPr>
            <w:tcW w:type="pct" w:w="34%"/>
            <w:tcMar>
              <w:top w:type="dxa" w:w="80"/>
              <w:left w:type="dxa" w:w="110"/>
              <w:bottom w:type="dxa" w:w="80"/>
              <w:right w:type="dxa" w:w="110"/>
            </w:tcMar>
          </w:tcPr>
          <w:p>
            <w:pPr>
              <w:spacing w:after="0"/>
            </w:pPr>
            <w:r>
              <w:rPr>
                <w:sz w:val="17"/>
                <w:szCs w:val="17"/>
              </w:rPr>
              <w:t xml:space="preserve">Les trois mentions figurent à l'écran ET dans le document Word exporté. Le nom imprimé est FIGÉ au moment de la signature : un renommage ultérieur de la personne ne réécrit pas un enregistrement déjà signé. L'heure est affichée en UTC pour rester non ambiguë. La signification est explicite (approbation, revue, disposition statuée, clôture prononcée) et n'est jamais remplacée par une valeur par défaut.</w:t>
            </w:r>
          </w:p>
        </w:tc>
        <w:tc>
          <w:tcPr>
            <w:tcW w:type="pct" w:w="27%"/>
            <w:tcMar>
              <w:top w:type="dxa" w:w="80"/>
              <w:left w:type="dxa" w:w="110"/>
              <w:bottom w:type="dxa" w:w="80"/>
              <w:right w:type="dxa" w:w="110"/>
            </w:tcMar>
          </w:tcPr>
          <w:p>
            <w:pPr>
              <w:spacing w:after="0"/>
            </w:pPr>
            <w:r>
              <w:rPr>
                <w:sz w:val="17"/>
                <w:szCs w:val="17"/>
              </w:rPr>
              <w:t xml:space="preserve">Aucune action requise.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11.70</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Les signatures sont liées à leur enregistrement de façon à ne pouvoir être ni excisées, ni copiées, ni transférées pour falsifier un enregistrement.</w:t>
            </w:r>
          </w:p>
        </w:tc>
        <w:tc>
          <w:tcPr>
            <w:tcW w:type="pct" w:w="34%"/>
            <w:tcMar>
              <w:top w:type="dxa" w:w="80"/>
              <w:left w:type="dxa" w:w="110"/>
              <w:bottom w:type="dxa" w:w="80"/>
              <w:right w:type="dxa" w:w="110"/>
            </w:tcMar>
          </w:tcPr>
          <w:p>
            <w:pPr>
              <w:spacing w:after="0"/>
            </w:pPr>
            <w:r>
              <w:rPr>
                <w:sz w:val="17"/>
                <w:szCs w:val="17"/>
              </w:rPr>
              <w:t xml:space="preserve">La signature est une ligne rattachée à l'enregistrement, non un fichier détachable. Elle ne peut être ni retirée après apposition, ni apposée par un tiers. Chaque signature porte en outre l'EMPREINTE SHA-256 du contenu gelé qu'elle atteste, recopiée dans l'enregistrement de signature lui-même : une signature transposée sur un autre contenu se voit immédiatement, à l'écran comme dans le document Word, où elle s'affiche en rouge. La manifestation lisible (21 CFR 11.50) porte cette empreinte. Toute reprise du contenu — renvoi en brouillon ou nouvelle révision — invalide automatiquement l'ensemble des signatures : un contenu modifié ne conserve jamais l'approbation de l'ancien. La publication est refusée, et l'écart inscrit dans la piste d'audit, si le contenu diffère de celui qui a été gelé pour approbation.</w:t>
            </w:r>
          </w:p>
        </w:tc>
        <w:tc>
          <w:tcPr>
            <w:tcW w:type="pct" w:w="27%"/>
            <w:tcMar>
              <w:top w:type="dxa" w:w="80"/>
              <w:left w:type="dxa" w:w="110"/>
              <w:bottom w:type="dxa" w:w="80"/>
              <w:right w:type="dxa" w:w="110"/>
            </w:tcMar>
          </w:tcPr>
          <w:p>
            <w:pPr>
              <w:spacing w:after="0"/>
            </w:pPr>
            <w:r>
              <w:rPr>
                <w:sz w:val="17"/>
                <w:szCs w:val="17"/>
              </w:rPr>
              <w:t xml:space="preserve">Restreindre l'accès direct au fichier de base de données aux seuls administrateurs système.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11.100(a)</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Chaque signature électronique est unique à une personne et n'est jamais réutilisée ni réattribuée.</w:t>
            </w:r>
          </w:p>
        </w:tc>
        <w:tc>
          <w:tcPr>
            <w:tcW w:type="pct" w:w="34%"/>
            <w:tcMar>
              <w:top w:type="dxa" w:w="80"/>
              <w:left w:type="dxa" w:w="110"/>
              <w:bottom w:type="dxa" w:w="80"/>
              <w:right w:type="dxa" w:w="110"/>
            </w:tcMar>
          </w:tcPr>
          <w:p>
            <w:pPr>
              <w:spacing w:after="0"/>
            </w:pPr>
            <w:r>
              <w:rPr>
                <w:sz w:val="17"/>
                <w:szCs w:val="17"/>
              </w:rPr>
              <w:t xml:space="preserve">Contrainte d'unicité en base sur les initiales et sur le courriel : deux personnes ne peuvent pas porter le même identifiant. Aucune fonction ne supprime une personne — un compte se désactive, il ne se recycle pas : un identifiant n'est donc jamais libéré ni réattribué.</w:t>
            </w:r>
          </w:p>
        </w:tc>
        <w:tc>
          <w:tcPr>
            <w:tcW w:type="pct" w:w="27%"/>
            <w:tcMar>
              <w:top w:type="dxa" w:w="80"/>
              <w:left w:type="dxa" w:w="110"/>
              <w:bottom w:type="dxa" w:w="80"/>
              <w:right w:type="dxa" w:w="110"/>
            </w:tcMar>
          </w:tcPr>
          <w:p>
            <w:pPr>
              <w:spacing w:after="0"/>
            </w:pPr>
            <w:r>
              <w:rPr>
                <w:sz w:val="17"/>
                <w:szCs w:val="17"/>
              </w:rPr>
              <w:t xml:space="preserve">Ne jamais réutiliser les initiales d'un collaborateur parti pour un nouvel arrivant.</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11.100(b)</w:t>
            </w:r>
          </w:p>
          <w:p>
            <w:pPr>
              <w:spacing w:after="0"/>
            </w:pPr>
            <w:r>
              <w:rPr>
                <w:b/>
                <w:bCs/>
                <w:color w:val="1D4ED8"/>
                <w:sz w:val="15"/>
                <w:szCs w:val="15"/>
              </w:rPr>
              <w:t xml:space="preserve">Votre organisation</w:t>
            </w:r>
          </w:p>
        </w:tc>
        <w:tc>
          <w:tcPr>
            <w:tcW w:type="pct" w:w="26%"/>
            <w:tcMar>
              <w:top w:type="dxa" w:w="80"/>
              <w:left w:type="dxa" w:w="110"/>
              <w:bottom w:type="dxa" w:w="80"/>
              <w:right w:type="dxa" w:w="110"/>
            </w:tcMar>
          </w:tcPr>
          <w:p>
            <w:pPr>
              <w:spacing w:after="0"/>
            </w:pPr>
            <w:r>
              <w:rPr>
                <w:sz w:val="17"/>
                <w:szCs w:val="17"/>
              </w:rPr>
              <w:t xml:space="preserve">L'organisation vérifie l'identité d'une personne avant de lui attribuer une signature électronique.</w:t>
            </w:r>
          </w:p>
        </w:tc>
        <w:tc>
          <w:tcPr>
            <w:tcW w:type="pct" w:w="34%"/>
            <w:tcMar>
              <w:top w:type="dxa" w:w="80"/>
              <w:left w:type="dxa" w:w="110"/>
              <w:bottom w:type="dxa" w:w="80"/>
              <w:right w:type="dxa" w:w="110"/>
            </w:tcMar>
          </w:tcPr>
          <w:p>
            <w:pPr>
              <w:spacing w:after="0"/>
            </w:pPr>
            <w:r>
              <w:rPr>
                <w:sz w:val="17"/>
                <w:szCs w:val="17"/>
              </w:rPr>
              <w:t xml:space="preserve">Filum ne comporte aucun emplacement pour conserver la preuve de cette vérification.</w:t>
            </w:r>
          </w:p>
        </w:tc>
        <w:tc>
          <w:tcPr>
            <w:tcW w:type="pct" w:w="27%"/>
            <w:tcMar>
              <w:top w:type="dxa" w:w="80"/>
              <w:left w:type="dxa" w:w="110"/>
              <w:bottom w:type="dxa" w:w="80"/>
              <w:right w:type="dxa" w:w="110"/>
            </w:tcMar>
          </w:tcPr>
          <w:p>
            <w:pPr>
              <w:spacing w:after="0"/>
            </w:pPr>
            <w:r>
              <w:rPr>
                <w:sz w:val="17"/>
                <w:szCs w:val="17"/>
              </w:rPr>
              <w:t xml:space="preserve">Vérifier l'identité avant création du compte et conserver cette preuve dans votre système qualité ou RH.</w:t>
            </w:r>
          </w:p>
        </w:tc>
      </w:tr>
      <w:tr>
        <w:tc>
          <w:tcPr>
            <w:tcW w:type="pct" w:w="13%"/>
            <w:shd w:fill="DBEAFE"/>
            <w:tcMar>
              <w:top w:type="dxa" w:w="80"/>
              <w:left w:type="dxa" w:w="110"/>
              <w:bottom w:type="dxa" w:w="80"/>
              <w:right w:type="dxa" w:w="110"/>
            </w:tcMar>
          </w:tcPr>
          <w:p>
            <w:pPr>
              <w:spacing w:after="60"/>
            </w:pPr>
            <w:r>
              <w:rPr>
                <w:b/>
                <w:bCs/>
                <w:color w:val="4338CA"/>
                <w:sz w:val="17"/>
                <w:szCs w:val="17"/>
              </w:rPr>
              <w:t xml:space="preserve">11.100(c)</w:t>
            </w:r>
          </w:p>
          <w:p>
            <w:pPr>
              <w:spacing w:after="0"/>
            </w:pPr>
            <w:r>
              <w:rPr>
                <w:b/>
                <w:bCs/>
                <w:color w:val="1D4ED8"/>
                <w:sz w:val="15"/>
                <w:szCs w:val="15"/>
              </w:rPr>
              <w:t xml:space="preserve">Votre organisation</w:t>
            </w:r>
          </w:p>
        </w:tc>
        <w:tc>
          <w:tcPr>
            <w:tcW w:type="pct" w:w="26%"/>
            <w:tcMar>
              <w:top w:type="dxa" w:w="80"/>
              <w:left w:type="dxa" w:w="110"/>
              <w:bottom w:type="dxa" w:w="80"/>
              <w:right w:type="dxa" w:w="110"/>
            </w:tcMar>
          </w:tcPr>
          <w:p>
            <w:pPr>
              <w:spacing w:after="0"/>
            </w:pPr>
            <w:r>
              <w:rPr>
                <w:sz w:val="17"/>
                <w:szCs w:val="17"/>
              </w:rPr>
              <w:t xml:space="preserve">Certification adressée à la FDA attestant que les signatures électroniques sont l'équivalent légal des signatures manuscrites.</w:t>
            </w:r>
          </w:p>
        </w:tc>
        <w:tc>
          <w:tcPr>
            <w:tcW w:type="pct" w:w="34%"/>
            <w:tcMar>
              <w:top w:type="dxa" w:w="80"/>
              <w:left w:type="dxa" w:w="110"/>
              <w:bottom w:type="dxa" w:w="80"/>
              <w:right w:type="dxa" w:w="110"/>
            </w:tcMar>
          </w:tcPr>
          <w:p>
            <w:pPr>
              <w:spacing w:after="0"/>
            </w:pPr>
            <w:r>
              <w:rPr>
                <w:sz w:val="17"/>
                <w:szCs w:val="17"/>
              </w:rPr>
              <w:t xml:space="preserve">Cette certification ne peut PAS être portée par l'éditeur du logiciel. Elle engage l'entité juridique dont les collaborateurs signent les enregistrements, prend la forme d'une lettre à signature manuscrite adressée à l'Office of Regional Operations de la FDA, et doit être transmise par le déclarant lui-même. Le §11.100(c)(2) exige de surcroît qu'une PERSONNE atteste, sur demande, que sa signature équivaut à sa signature manuscrite : un produit ne peut pas témoigner.</w:t>
            </w:r>
          </w:p>
        </w:tc>
        <w:tc>
          <w:tcPr>
            <w:tcW w:type="pct" w:w="27%"/>
            <w:tcMar>
              <w:top w:type="dxa" w:w="80"/>
              <w:left w:type="dxa" w:w="110"/>
              <w:bottom w:type="dxa" w:w="80"/>
              <w:right w:type="dxa" w:w="110"/>
            </w:tcMar>
          </w:tcPr>
          <w:p>
            <w:pPr>
              <w:spacing w:after="0"/>
            </w:pPr>
            <w:r>
              <w:rPr>
                <w:sz w:val="17"/>
                <w:szCs w:val="17"/>
              </w:rPr>
              <w:t xml:space="preserve">Établir et transmettre la certification, avant ou au moment du premier usage des signatures électroniques.</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11.200(a)(1)</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La signature emploie au moins deux composants distincts d'identification. Tous les composants à la première signature d'une période continue d'accès contrôlé, au moins un aux suivantes ; tous les composants pour toute signature hors d'une telle période.</w:t>
            </w:r>
          </w:p>
        </w:tc>
        <w:tc>
          <w:tcPr>
            <w:tcW w:type="pct" w:w="34%"/>
            <w:tcMar>
              <w:top w:type="dxa" w:w="80"/>
              <w:left w:type="dxa" w:w="110"/>
              <w:bottom w:type="dxa" w:w="80"/>
              <w:right w:type="dxa" w:w="110"/>
            </w:tcMar>
          </w:tcPr>
          <w:p>
            <w:pPr>
              <w:spacing w:after="0"/>
            </w:pPr>
            <w:r>
              <w:rPr>
                <w:sz w:val="17"/>
                <w:szCs w:val="17"/>
              </w:rPr>
              <w:t xml:space="preserve">Filum exige les DEUX composants à CHAQUE signature : la session authentifiée et la re-saisie du mot de passe au moment du geste. C'est plus strict que le minimum réglementaire, et cela évite d'avoir à démontrer qu'une session est restée « continue ». Un échec ne signe rien : il est journalisé nominativement et compte dans le verrouillage du compte.</w:t>
            </w:r>
          </w:p>
        </w:tc>
        <w:tc>
          <w:tcPr>
            <w:tcW w:type="pct" w:w="27%"/>
            <w:tcMar>
              <w:top w:type="dxa" w:w="80"/>
              <w:left w:type="dxa" w:w="110"/>
              <w:bottom w:type="dxa" w:w="80"/>
              <w:right w:type="dxa" w:w="110"/>
            </w:tcMar>
          </w:tcPr>
          <w:p>
            <w:pPr>
              <w:spacing w:after="0"/>
            </w:pPr>
            <w:r>
              <w:rPr>
                <w:sz w:val="17"/>
                <w:szCs w:val="17"/>
              </w:rPr>
              <w:t xml:space="preserve">Interdire le partage de mot de passe dans votre politique de responsabilisation.</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11.200(a)(2)</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La signature n'est utilisable que par son propriétaire légitime.</w:t>
            </w:r>
          </w:p>
        </w:tc>
        <w:tc>
          <w:tcPr>
            <w:tcW w:type="pct" w:w="34%"/>
            <w:tcMar>
              <w:top w:type="dxa" w:w="80"/>
              <w:left w:type="dxa" w:w="110"/>
              <w:bottom w:type="dxa" w:w="80"/>
              <w:right w:type="dxa" w:w="110"/>
            </w:tcMar>
          </w:tcPr>
          <w:p>
            <w:pPr>
              <w:spacing w:after="0"/>
            </w:pPr>
            <w:r>
              <w:rPr>
                <w:sz w:val="17"/>
                <w:szCs w:val="17"/>
              </w:rPr>
              <w:t xml:space="preserve">On ne signe que sa propre approbation : le serveur vérifie que le signataire désigné est bien l'utilisateur authentifié. Une approbation déjà signée ne peut être ni re-signée, ni retirée.</w:t>
            </w:r>
          </w:p>
        </w:tc>
        <w:tc>
          <w:tcPr>
            <w:tcW w:type="pct" w:w="27%"/>
            <w:tcMar>
              <w:top w:type="dxa" w:w="80"/>
              <w:left w:type="dxa" w:w="110"/>
              <w:bottom w:type="dxa" w:w="80"/>
              <w:right w:type="dxa" w:w="110"/>
            </w:tcMar>
          </w:tcPr>
          <w:p>
            <w:pPr>
              <w:spacing w:after="0"/>
            </w:pPr>
            <w:r>
              <w:rPr>
                <w:sz w:val="17"/>
                <w:szCs w:val="17"/>
              </w:rPr>
              <w:t xml:space="preserve">Politique de non-partage des identifiants et verrouillage des postes laissés sans surveillance.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11.200(a)(3)</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Toute tentative d'utiliser la signature d'une autre personne exige la collaboration d'au moins deux personnes.</w:t>
            </w:r>
          </w:p>
        </w:tc>
        <w:tc>
          <w:tcPr>
            <w:tcW w:type="pct" w:w="34%"/>
            <w:tcMar>
              <w:top w:type="dxa" w:w="80"/>
              <w:left w:type="dxa" w:w="110"/>
              <w:bottom w:type="dxa" w:w="80"/>
              <w:right w:type="dxa" w:w="110"/>
            </w:tcMar>
          </w:tcPr>
          <w:p>
            <w:pPr>
              <w:spacing w:after="0"/>
            </w:pPr>
            <w:r>
              <w:rPr>
                <w:sz w:val="17"/>
                <w:szCs w:val="17"/>
              </w:rPr>
              <w:t xml:space="preserve">Aucune fonction du logiciel ne permet de poser le mot de passe d'un autre : le seul champ où l'on saisit un mot de passe est celui où l'on saisit le sien. Un Administrateur émet un jeton à usage unique, valable 24 h, stocké haché et affiché une seule fois ; son titulaire le consomme depuis l'écran de connexion et choisit lui-même son secret. L'outil d'urgence de la console serveur suit la même règle et ne sait plus dériver de mot de passe. RÉSERVE À CONNAÎTRE : l'administrateur voit le jeton qu'il émet et pourrait le consommer à la place du titulaire. Ce n'est plus une connaissance silencieuse mais un ACTE, horodaté dans la piste d'audit, et que le titulaire légitime constate aussitôt puisque son jeton ne fonctionne plus.</w:t>
            </w:r>
          </w:p>
        </w:tc>
        <w:tc>
          <w:tcPr>
            <w:tcW w:type="pct" w:w="27%"/>
            <w:tcMar>
              <w:top w:type="dxa" w:w="80"/>
              <w:left w:type="dxa" w:w="110"/>
              <w:bottom w:type="dxa" w:w="80"/>
              <w:right w:type="dxa" w:w="110"/>
            </w:tcMar>
          </w:tcPr>
          <w:p>
            <w:pPr>
              <w:spacing w:after="0"/>
            </w:pPr>
            <w:r>
              <w:rPr>
                <w:sz w:val="17"/>
                <w:szCs w:val="17"/>
              </w:rPr>
              <w:t xml:space="preserve">Prescrire dans votre procédure le canal de remise du jeton — de vive voix, par téléphone, par votre messagerie interne : Filum n'a aucun canal sortant et ne le remet pas à votre place. Compenser la réserve ci-dessus par votre politique de responsabilisation : limiter le nombre d'administrateurs, les tenir explicitement responsables, et faire de la revue périodique de la piste d'audit une tâche attribuée. Un titulaire dont le jeton est refusé comme « déjà utilisé » doit savoir qu'il faut le signaler.</w:t>
            </w:r>
          </w:p>
        </w:tc>
      </w:tr>
      <w:tr>
        <w:tc>
          <w:tcPr>
            <w:tcW w:type="pct" w:w="13%"/>
            <w:shd w:fill="F1F5F9"/>
            <w:tcMar>
              <w:top w:type="dxa" w:w="80"/>
              <w:left w:type="dxa" w:w="110"/>
              <w:bottom w:type="dxa" w:w="80"/>
              <w:right w:type="dxa" w:w="110"/>
            </w:tcMar>
          </w:tcPr>
          <w:p>
            <w:pPr>
              <w:spacing w:after="60"/>
            </w:pPr>
            <w:r>
              <w:rPr>
                <w:b/>
                <w:bCs/>
                <w:color w:val="4338CA"/>
                <w:sz w:val="17"/>
                <w:szCs w:val="17"/>
              </w:rPr>
              <w:t xml:space="preserve">11.200(b)</w:t>
            </w:r>
          </w:p>
          <w:p>
            <w:pPr>
              <w:spacing w:after="0"/>
            </w:pPr>
            <w:r>
              <w:rPr>
                <w:b/>
                <w:bCs/>
                <w:color w:val="475569"/>
                <w:sz w:val="15"/>
                <w:szCs w:val="15"/>
              </w:rPr>
              <w:t xml:space="preserve">Hors périmètre</w:t>
            </w:r>
          </w:p>
        </w:tc>
        <w:tc>
          <w:tcPr>
            <w:tcW w:type="pct" w:w="26%"/>
            <w:tcMar>
              <w:top w:type="dxa" w:w="80"/>
              <w:left w:type="dxa" w:w="110"/>
              <w:bottom w:type="dxa" w:w="80"/>
              <w:right w:type="dxa" w:w="110"/>
            </w:tcMar>
          </w:tcPr>
          <w:p>
            <w:pPr>
              <w:spacing w:after="0"/>
            </w:pPr>
            <w:r>
              <w:rPr>
                <w:sz w:val="17"/>
                <w:szCs w:val="17"/>
              </w:rPr>
              <w:t xml:space="preserve">Signatures fondées sur la biométrie.</w:t>
            </w:r>
          </w:p>
        </w:tc>
        <w:tc>
          <w:tcPr>
            <w:tcW w:type="pct" w:w="34%"/>
            <w:tcMar>
              <w:top w:type="dxa" w:w="80"/>
              <w:left w:type="dxa" w:w="110"/>
              <w:bottom w:type="dxa" w:w="80"/>
              <w:right w:type="dxa" w:w="110"/>
            </w:tcMar>
          </w:tcPr>
          <w:p>
            <w:pPr>
              <w:spacing w:after="0"/>
            </w:pPr>
            <w:r>
              <w:rPr>
                <w:sz w:val="17"/>
                <w:szCs w:val="17"/>
              </w:rPr>
              <w:t xml:space="preserve">Filum n'utilise aucun facteur biométrique.</w:t>
            </w:r>
          </w:p>
        </w:tc>
        <w:tc>
          <w:tcPr>
            <w:tcW w:type="pct" w:w="27%"/>
            <w:tcMar>
              <w:top w:type="dxa" w:w="80"/>
              <w:left w:type="dxa" w:w="110"/>
              <w:bottom w:type="dxa" w:w="80"/>
              <w:right w:type="dxa" w:w="110"/>
            </w:tcMar>
          </w:tcPr>
          <w:p>
            <w:pPr>
              <w:spacing w:after="0"/>
            </w:pPr>
            <w:r>
              <w:rPr>
                <w:sz w:val="17"/>
                <w:szCs w:val="17"/>
              </w:rPr>
              <w:t xml:space="preserve">Sans objet.</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11.300(a)</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Maintenir l'unicité de la combinaison identifiant et mot de passe : deux personnes ne partagent jamais la même.</w:t>
            </w:r>
          </w:p>
        </w:tc>
        <w:tc>
          <w:tcPr>
            <w:tcW w:type="pct" w:w="34%"/>
            <w:tcMar>
              <w:top w:type="dxa" w:w="80"/>
              <w:left w:type="dxa" w:w="110"/>
              <w:bottom w:type="dxa" w:w="80"/>
              <w:right w:type="dxa" w:w="110"/>
            </w:tcMar>
          </w:tcPr>
          <w:p>
            <w:pPr>
              <w:spacing w:after="0"/>
            </w:pPr>
            <w:r>
              <w:rPr>
                <w:sz w:val="17"/>
                <w:szCs w:val="17"/>
              </w:rPr>
              <w:t xml:space="preserve">Unicité de l'identifiant garantie par contrainte de base de données, et non par un simple contrôle applicatif : la base refuse physiquement le doublon.</w:t>
            </w:r>
          </w:p>
        </w:tc>
        <w:tc>
          <w:tcPr>
            <w:tcW w:type="pct" w:w="27%"/>
            <w:tcMar>
              <w:top w:type="dxa" w:w="80"/>
              <w:left w:type="dxa" w:w="110"/>
              <w:bottom w:type="dxa" w:w="80"/>
              <w:right w:type="dxa" w:w="110"/>
            </w:tcMar>
          </w:tcPr>
          <w:p>
            <w:pPr>
              <w:spacing w:after="0"/>
            </w:pPr>
            <w:r>
              <w:rPr>
                <w:sz w:val="17"/>
                <w:szCs w:val="17"/>
              </w:rPr>
              <w:t xml:space="preserve">Aucune action requise.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11.300(b)</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S'assurer que les émissions de codes d'identification et de mots de passe sont périodiquement vérifiées, rappelées ou révisées — par exemple pour couvrir le vieillissement des mots de passe.</w:t>
            </w:r>
          </w:p>
        </w:tc>
        <w:tc>
          <w:tcPr>
            <w:tcW w:type="pct" w:w="34%"/>
            <w:tcMar>
              <w:top w:type="dxa" w:w="80"/>
              <w:left w:type="dxa" w:w="110"/>
              <w:bottom w:type="dxa" w:w="80"/>
              <w:right w:type="dxa" w:w="110"/>
            </w:tcMar>
          </w:tcPr>
          <w:p>
            <w:pPr>
              <w:spacing w:after="0"/>
            </w:pPr>
            <w:r>
              <w:rPr>
                <w:sz w:val="17"/>
                <w:szCs w:val="17"/>
              </w:rPr>
              <w:t xml:space="preserve">La date du dernier changement est enregistrée à chaque écriture du mot de passe. L'écran des utilisateurs affiche l'âge de chaque mot de passe et signale ceux qui n'ont jamais été changés : c'est la VÉRIFICATION périodique que la clause demande en premier, et elle fonctionne sans expiration imposée. Le premier compte administrateur d'une installation doit renouveler son mot de passe dès la première connexion — celui-ci vient du fichier de composition, ce n'est pas un secret. La durée de validité, elle, se DÉCLARE : renseignée, son dépassement exige le renouvellement ; laissée vide, aucune expiration n'est imposée. Tant que le renouvellement est dû, aucune page ni route de téléchargement n'est accessible — le contrôle est dans la garde d'authentification, par laquelle tout passe, et un cas de qualification relit la source pour qu'aucun point d'entrée ne s'en écarte.</w:t>
            </w:r>
          </w:p>
        </w:tc>
        <w:tc>
          <w:tcPr>
            <w:tcW w:type="pct" w:w="27%"/>
            <w:tcMar>
              <w:top w:type="dxa" w:w="80"/>
              <w:left w:type="dxa" w:w="110"/>
              <w:bottom w:type="dxa" w:w="80"/>
              <w:right w:type="dxa" w:w="110"/>
            </w:tcMar>
          </w:tcPr>
          <w:p>
            <w:pPr>
              <w:spacing w:after="0"/>
            </w:pPr>
            <w:r>
              <w:rPr>
                <w:sz w:val="17"/>
                <w:szCs w:val="17"/>
              </w:rPr>
              <w:t xml:space="preserve">Décider s'il faut imposer une expiration, et l'écrire. La clause n'impose aucune durée, et la doctrine a changé : le NIST SP 800-63B déconseille l'expiration périodique arbitraire, qui pousse aux incréments prévisibles. Ne pas expirer est donc une décision défendable — à condition de la consigner et de tenir la revue périodique des comptes, que l'écran des utilisateurs rend possible. Vous restez également maître de la robustesse exigée au-delà de la longueur minimale, et de la formation des utilisateurs au non-partage.</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11.300(c)</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Procédure de rappel en cas de perte, vol ou compromission d'un identifiant, avec délivrance de remplacements sous contrôle strict.</w:t>
            </w:r>
          </w:p>
        </w:tc>
        <w:tc>
          <w:tcPr>
            <w:tcW w:type="pct" w:w="34%"/>
            <w:tcMar>
              <w:top w:type="dxa" w:w="80"/>
              <w:left w:type="dxa" w:w="110"/>
              <w:bottom w:type="dxa" w:w="80"/>
              <w:right w:type="dxa" w:w="110"/>
            </w:tcMar>
          </w:tcPr>
          <w:p>
            <w:pPr>
              <w:spacing w:after="0"/>
            </w:pPr>
            <w:r>
              <w:rPr>
                <w:sz w:val="17"/>
                <w:szCs w:val="17"/>
              </w:rPr>
              <w:t xml:space="preserve">Un administrateur émet un jeton de réinitialisation et RÉVOQUE dans le même geste toutes les sessions ouvertes du compte : un cookie volé cesse immédiatement d'être valide. Le jeton est à usage unique, expire en 24 h, n'est stocké que haché, et une réémission invalide le précédent. La désactivation d'un compte révoque également ses sessions. Tous ces gestes sont journalisés nominativement, l'émission comme la consommation.</w:t>
            </w:r>
          </w:p>
        </w:tc>
        <w:tc>
          <w:tcPr>
            <w:tcW w:type="pct" w:w="27%"/>
            <w:tcMar>
              <w:top w:type="dxa" w:w="80"/>
              <w:left w:type="dxa" w:w="110"/>
              <w:bottom w:type="dxa" w:w="80"/>
              <w:right w:type="dxa" w:w="110"/>
            </w:tcMar>
          </w:tcPr>
          <w:p>
            <w:pPr>
              <w:spacing w:after="0"/>
            </w:pPr>
            <w:r>
              <w:rPr>
                <w:sz w:val="17"/>
                <w:szCs w:val="17"/>
              </w:rPr>
              <w:t xml:space="preserve">Procédure de déclaration de perte ou de compromission, et vérification de l'identité du demandeur avant émission d'un jeton.</w:t>
            </w:r>
          </w:p>
        </w:tc>
      </w:tr>
      <w:tr>
        <w:tc>
          <w:tcPr>
            <w:tcW w:type="pct" w:w="13%"/>
            <w:shd w:fill="D1FAE5"/>
            <w:tcMar>
              <w:top w:type="dxa" w:w="80"/>
              <w:left w:type="dxa" w:w="110"/>
              <w:bottom w:type="dxa" w:w="80"/>
              <w:right w:type="dxa" w:w="110"/>
            </w:tcMar>
          </w:tcPr>
          <w:p>
            <w:pPr>
              <w:spacing w:after="60"/>
            </w:pPr>
            <w:r>
              <w:rPr>
                <w:b/>
                <w:bCs/>
                <w:color w:val="4338CA"/>
                <w:sz w:val="17"/>
                <w:szCs w:val="17"/>
              </w:rPr>
              <w:t xml:space="preserve">11.300(d)</w:t>
            </w:r>
          </w:p>
          <w:p>
            <w:pPr>
              <w:spacing w:after="0"/>
            </w:pPr>
            <w:r>
              <w:rPr>
                <w:b/>
                <w:bCs/>
                <w:color w:val="047857"/>
                <w:sz w:val="15"/>
                <w:szCs w:val="15"/>
              </w:rPr>
              <w:t xml:space="preserve">Implémenté</w:t>
            </w:r>
          </w:p>
        </w:tc>
        <w:tc>
          <w:tcPr>
            <w:tcW w:type="pct" w:w="26%"/>
            <w:tcMar>
              <w:top w:type="dxa" w:w="80"/>
              <w:left w:type="dxa" w:w="110"/>
              <w:bottom w:type="dxa" w:w="80"/>
              <w:right w:type="dxa" w:w="110"/>
            </w:tcMar>
          </w:tcPr>
          <w:p>
            <w:pPr>
              <w:spacing w:after="0"/>
            </w:pPr>
            <w:r>
              <w:rPr>
                <w:sz w:val="17"/>
                <w:szCs w:val="17"/>
              </w:rPr>
              <w:t xml:space="preserve">Garde-fous contre l'usage non autorisé des identifiants et mots de passe, et signalement immédiat des tentatives.</w:t>
            </w:r>
          </w:p>
        </w:tc>
        <w:tc>
          <w:tcPr>
            <w:tcW w:type="pct" w:w="34%"/>
            <w:tcMar>
              <w:top w:type="dxa" w:w="80"/>
              <w:left w:type="dxa" w:w="110"/>
              <w:bottom w:type="dxa" w:w="80"/>
              <w:right w:type="dxa" w:w="110"/>
            </w:tcMar>
          </w:tcPr>
          <w:p>
            <w:pPr>
              <w:spacing w:after="0"/>
            </w:pPr>
            <w:r>
              <w:rPr>
                <w:sz w:val="17"/>
                <w:szCs w:val="17"/>
              </w:rPr>
              <w:t xml:space="preserve">Verrouillage temporaire du compte après échecs répétés (5 essais, 15 minutes par défaut, réglables à l'installation), appliqué à la connexion COMME à la ré-authentification de signature. Chaque échec et chaque verrouillage produisent une entrée d'audit nominative, distinguée par une couleur propre à l'écran. Un verrouillage déclenché depuis un geste de signature révoque en outre toutes les sessions du compte.</w:t>
            </w:r>
          </w:p>
        </w:tc>
        <w:tc>
          <w:tcPr>
            <w:tcW w:type="pct" w:w="27%"/>
            <w:tcMar>
              <w:top w:type="dxa" w:w="80"/>
              <w:left w:type="dxa" w:w="110"/>
              <w:bottom w:type="dxa" w:w="80"/>
              <w:right w:type="dxa" w:w="110"/>
            </w:tcMar>
          </w:tcPr>
          <w:p>
            <w:pPr>
              <w:spacing w:after="0"/>
            </w:pPr>
            <w:r>
              <w:rPr>
                <w:sz w:val="17"/>
                <w:szCs w:val="17"/>
              </w:rPr>
              <w:t xml:space="preserve">Attribuer la revue périodique des événements de sécurité de la piste d'audit, et définir la conduite à tenir sur alerte. Filum n'envoie pas de notification : l'alerte est à consulter.</w:t>
            </w:r>
          </w:p>
        </w:tc>
      </w:tr>
      <w:tr>
        <w:tc>
          <w:tcPr>
            <w:tcW w:type="pct" w:w="13%"/>
            <w:shd w:fill="F1F5F9"/>
            <w:tcMar>
              <w:top w:type="dxa" w:w="80"/>
              <w:left w:type="dxa" w:w="110"/>
              <w:bottom w:type="dxa" w:w="80"/>
              <w:right w:type="dxa" w:w="110"/>
            </w:tcMar>
          </w:tcPr>
          <w:p>
            <w:pPr>
              <w:spacing w:after="60"/>
            </w:pPr>
            <w:r>
              <w:rPr>
                <w:b/>
                <w:bCs/>
                <w:color w:val="4338CA"/>
                <w:sz w:val="17"/>
                <w:szCs w:val="17"/>
              </w:rPr>
              <w:t xml:space="preserve">11.300(e)</w:t>
            </w:r>
          </w:p>
          <w:p>
            <w:pPr>
              <w:spacing w:after="0"/>
            </w:pPr>
            <w:r>
              <w:rPr>
                <w:b/>
                <w:bCs/>
                <w:color w:val="475569"/>
                <w:sz w:val="15"/>
                <w:szCs w:val="15"/>
              </w:rPr>
              <w:t xml:space="preserve">Hors périmètre</w:t>
            </w:r>
          </w:p>
        </w:tc>
        <w:tc>
          <w:tcPr>
            <w:tcW w:type="pct" w:w="26%"/>
            <w:tcMar>
              <w:top w:type="dxa" w:w="80"/>
              <w:left w:type="dxa" w:w="110"/>
              <w:bottom w:type="dxa" w:w="80"/>
              <w:right w:type="dxa" w:w="110"/>
            </w:tcMar>
          </w:tcPr>
          <w:p>
            <w:pPr>
              <w:spacing w:after="0"/>
            </w:pPr>
            <w:r>
              <w:rPr>
                <w:sz w:val="17"/>
                <w:szCs w:val="17"/>
              </w:rPr>
              <w:t xml:space="preserve">Essai initial et périodique des dispositifs porteurs d'identifiants (jetons, cartes) pour vérifier qu'ils fonctionnent et n'ont pas été altérés.</w:t>
            </w:r>
          </w:p>
        </w:tc>
        <w:tc>
          <w:tcPr>
            <w:tcW w:type="pct" w:w="34%"/>
            <w:tcMar>
              <w:top w:type="dxa" w:w="80"/>
              <w:left w:type="dxa" w:w="110"/>
              <w:bottom w:type="dxa" w:w="80"/>
              <w:right w:type="dxa" w:w="110"/>
            </w:tcMar>
          </w:tcPr>
          <w:p>
            <w:pPr>
              <w:spacing w:after="0"/>
            </w:pPr>
            <w:r>
              <w:rPr>
                <w:sz w:val="17"/>
                <w:szCs w:val="17"/>
              </w:rPr>
              <w:t xml:space="preserve">Filum n'utilise ni jeton matériel, ni carte, ni dispositif porteur d'identifiant.</w:t>
            </w:r>
          </w:p>
        </w:tc>
        <w:tc>
          <w:tcPr>
            <w:tcW w:type="pct" w:w="27%"/>
            <w:tcMar>
              <w:top w:type="dxa" w:w="80"/>
              <w:left w:type="dxa" w:w="110"/>
              <w:bottom w:type="dxa" w:w="80"/>
              <w:right w:type="dxa" w:w="110"/>
            </w:tcMar>
          </w:tcPr>
          <w:p>
            <w:pPr>
              <w:spacing w:after="0"/>
            </w:pPr>
            <w:r>
              <w:rPr>
                <w:sz w:val="17"/>
                <w:szCs w:val="17"/>
              </w:rPr>
              <w:t xml:space="preserve">Sans objet en l'état. Si vous placez un facteur matériel devant l'application, la clause redevient applicable et Filum n'en conservera aucune trace.</w:t>
            </w:r>
          </w:p>
        </w:tc>
      </w:tr>
    </w:tbl>
    <w:p>
      <w:pPr>
        <w:pStyle w:val="Heading1"/>
        <w:spacing w:after="140" w:before="320"/>
      </w:pPr>
      <w:r>
        <w:t xml:space="preserve">4. Points ouverts et feuille de route</w:t>
      </w:r>
    </w:p>
    <w:p>
      <w:pPr>
        <w:spacing w:after="160"/>
      </w:pPr>
      <w:r>
        <w:rPr>
          <w:sz w:val="20"/>
          <w:szCs w:val="20"/>
        </w:rPr>
        <w:t xml:space="preserve">Aucun de ces points n'empêche l'usage de Filum en R&amp;D dispositifs médicaux, mais chacun doit être connu de votre responsable qualité avant déploiement, et le cas échéant couvert par une procédure.</w:t>
      </w:r>
    </w:p>
    <w:p>
      <w:pPr>
        <w:spacing w:after="60" w:before="200"/>
      </w:pPr>
      <w:r>
        <w:rPr>
          <w:b/>
          <w:bCs/>
          <w:sz w:val="20"/>
          <w:szCs w:val="20"/>
        </w:rPr>
        <w:t xml:space="preserve">Documents approuvés avant la mise en place du gel</w:t>
      </w:r>
      <w:r>
        <w:rPr>
          <w:color w:val="4338CA"/>
          <w:sz w:val="17"/>
          <w:szCs w:val="17"/>
        </w:rPr>
        <w:t xml:space="preserve">   11.10(b), 11.70</w:t>
      </w:r>
    </w:p>
    <w:p>
      <w:pPr>
        <w:spacing w:after="120"/>
      </w:pPr>
      <w:r>
        <w:rPr>
          <w:color w:val="475569"/>
          <w:sz w:val="17"/>
          <w:szCs w:val="17"/>
        </w:rPr>
        <w:t xml:space="preserve">Le gel du contenu est en place depuis la version 1.1 : mise en revue, empreinte, conservation des octets, liaison à la signature. Les documents approuvés dans une version antérieure n'ont, eux, pas de copie figée — l'état du graphe au moment de leurs signatures n'est pas récupérable, et aucune reconstitution après coup ne le prouverait. Leur fiche l'indique explicitement plutôt que de laisser croire à une copie manquante, et le gel s'applique normalement dès leur prochaine révision. Ce point se referme de lui-même à mesure que les documents sont révisés.</w:t>
      </w:r>
    </w:p>
    <w:p>
      <w:pPr>
        <w:spacing w:after="60" w:before="200"/>
      </w:pPr>
      <w:r>
        <w:rPr>
          <w:b/>
          <w:bCs/>
          <w:sz w:val="20"/>
          <w:szCs w:val="20"/>
        </w:rPr>
        <w:t xml:space="preserve">Périmètre non couvert par la qualification de l'éditeur</w:t>
      </w:r>
      <w:r>
        <w:rPr>
          <w:color w:val="4338CA"/>
          <w:sz w:val="17"/>
          <w:szCs w:val="17"/>
        </w:rPr>
        <w:t xml:space="preserve">   11.10(a)</w:t>
      </w:r>
    </w:p>
    <w:p>
      <w:pPr>
        <w:spacing w:after="120"/>
      </w:pPr>
      <w:r>
        <w:rPr>
          <w:color w:val="475569"/>
          <w:sz w:val="17"/>
          <w:szCs w:val="17"/>
        </w:rPr>
        <w:t xml:space="preserve">Le dossier de validation logiciel existe et est remis avec le produit : 49 exigences de validation, 46 cas de test automatisés rejoués à chaque version (contrôles d'autorité, piste d'audit, signature et sa liaison à l'empreinte, gel de contenu, refus de dérive, détection d'altération, chaînage, horodatage RFC 3161, réinitialisation par jeton, vecteurs CLSI, robustesse des entrées), matrice de traçabilité et protocole d'installation à exécuter chez vous. Le rapport de qualification opérationnelle n'est pas rédigé mais PRODUIT à partir d'une exécution réelle — le générateur refuse d'émettre le dossier sans elle ; au dernier passage, 46 cas sur 46 conformes, 0 écart. Restent hors périmètre, et doivent être connus : l'interface utilisateur (vérifiée par votre qualification de performance), la tenue sous charge, et l'absence de test d'intrusion par un tiers indépendant. Votre propre qualification d'usage reste requise dans tous les cas.</w:t>
      </w:r>
    </w:p>
    <w:p>
      <w:pPr>
        <w:spacing w:after="60" w:before="200"/>
      </w:pPr>
      <w:r>
        <w:rPr>
          <w:b/>
          <w:bCs/>
          <w:sz w:val="20"/>
          <w:szCs w:val="20"/>
        </w:rPr>
        <w:t xml:space="preserve">Portée du chaînage de la piste d'audit</w:t>
      </w:r>
      <w:r>
        <w:rPr>
          <w:color w:val="4338CA"/>
          <w:sz w:val="17"/>
          <w:szCs w:val="17"/>
        </w:rPr>
        <w:t xml:space="preserve">   11.10(a)</w:t>
      </w:r>
    </w:p>
    <w:p>
      <w:pPr>
        <w:spacing w:after="120"/>
      </w:pPr>
      <w:r>
        <w:rPr>
          <w:color w:val="475569"/>
          <w:sz w:val="17"/>
          <w:szCs w:val="17"/>
        </w:rPr>
        <w:t xml:space="preserve">Chaque entrée porte l'empreinte de la précédente : une modification ou une suppression pratiquée directement en base rompt la chaîne, et la vérification désigne le rang où elle se rompt. Trois réserves demeurent, et elles doivent être connues. Le chaînage DÉTECTE, il n'empêche pas : la restriction d'accès direct à la base reste nécessaire. Quelqu'un qui écrit dans la base peut recalculer la chaîne entière après sa modification — c'est la tête inscrite au manifeste de l'archive puis contresignée par une autorité d'horodatage qui ferme cette porte, à condition que vous produisiez des archives horodatées et en conserviez les ancres hors du système. Enfin, les entrées écrites avant l'installation du chaînage sont couvertes à partir de leur mise en chaîne, pas rétroactivement : l'état sur lequel les empreintes ont été calculées est celui du jour de l'installation, quel qu'il fût.</w:t>
      </w:r>
    </w:p>
    <w:p>
      <w:pPr>
        <w:spacing w:after="60" w:before="200"/>
      </w:pPr>
      <w:r>
        <w:rPr>
          <w:b/>
          <w:bCs/>
          <w:sz w:val="20"/>
          <w:szCs w:val="20"/>
        </w:rPr>
        <w:t xml:space="preserve">Enregistrements approuvés avant l'approbation par révision</w:t>
      </w:r>
      <w:r>
        <w:rPr>
          <w:color w:val="4338CA"/>
          <w:sz w:val="17"/>
          <w:szCs w:val="17"/>
        </w:rPr>
        <w:t xml:space="preserve">   11.70</w:t>
      </w:r>
    </w:p>
    <w:p>
      <w:pPr>
        <w:spacing w:after="120"/>
      </w:pPr>
      <w:r>
        <w:rPr>
          <w:color w:val="475569"/>
          <w:sz w:val="17"/>
          <w:szCs w:val="17"/>
        </w:rPr>
        <w:t xml:space="preserve">L'approbation appartient désormais à une révision : ouvrir la suivante crée de nouvelles lignes et laisse intactes celles de la révision publiée, avec leur signataire, leur horodatage, l'instantané signé et l'empreinte du contenu attesté. Un cas de qualification opérationnelle publie, révise et échoue si la liaison se perd. Restent les révisions approuvées AVANT ce changement : leurs lignes avaient été réécrites, et la reprise de données ne peut pas les reconstituer sans inventer une liaison. Leurs signatures subsistent dans la piste d'audit, en ajout seul, avec l'empreinte du contenu attesté ; l'archive d'inspection les rattache par là et l'indique ligne par ligne dans son manifeste. Ce point se referme de lui-même à mesure que les documents sont révisés.</w:t>
      </w:r>
    </w:p>
    <w:p>
      <w:pPr>
        <w:spacing w:after="60" w:before="200"/>
      </w:pPr>
      <w:r>
        <w:rPr>
          <w:b/>
          <w:bCs/>
          <w:sz w:val="20"/>
          <w:szCs w:val="20"/>
        </w:rPr>
        <w:t xml:space="preserve">Périmètre de la conservation légale</w:t>
      </w:r>
      <w:r>
        <w:rPr>
          <w:color w:val="4338CA"/>
          <w:sz w:val="17"/>
          <w:szCs w:val="17"/>
        </w:rPr>
        <w:t xml:space="preserve">   11.10(c)</w:t>
      </w:r>
    </w:p>
    <w:p>
      <w:pPr>
        <w:spacing w:after="120"/>
      </w:pPr>
      <w:r>
        <w:rPr>
          <w:color w:val="475569"/>
          <w:sz w:val="17"/>
          <w:szCs w:val="17"/>
        </w:rPr>
        <w:t xml:space="preserve">La conservation légale porte sur l'installation entière : Filum ne sait pas restreindre une suspension à un programme, un lot ou une affaire. Volontairement grossier — un périmètre trop large gêne, un périmètre trop étroit laisse détruire une pièce — mais à connaître si votre procédure exige un périmètre par litige.</w:t>
      </w:r>
    </w:p>
    <w:p>
      <w:pPr>
        <w:spacing w:after="60" w:before="200"/>
      </w:pPr>
      <w:r>
        <w:rPr>
          <w:b/>
          <w:bCs/>
          <w:sz w:val="20"/>
          <w:szCs w:val="20"/>
        </w:rPr>
        <w:t xml:space="preserve">L'émetteur d'un jeton le voit</w:t>
      </w:r>
      <w:r>
        <w:rPr>
          <w:color w:val="4338CA"/>
          <w:sz w:val="17"/>
          <w:szCs w:val="17"/>
        </w:rPr>
        <w:t xml:space="preserve">   11.200(a)(3)</w:t>
      </w:r>
    </w:p>
    <w:p>
      <w:pPr>
        <w:spacing w:after="120"/>
      </w:pPr>
      <w:r>
        <w:rPr>
          <w:color w:val="475569"/>
          <w:sz w:val="17"/>
          <w:szCs w:val="17"/>
        </w:rPr>
        <w:t xml:space="preserve">L'administrateur qui émet un jeton de réinitialisation le lit à l'écran, puisqu'il doit le remettre à son titulaire. Rien n'empêche techniquement qu'il le consomme lui-même. Ce résidu est irréductible sans canal sortant — que Filum n'a pas, par construction : rien ne quitte votre infrastructure. Il se traite par la procédure : responsabilisation des administrateurs, revue de la piste d'audit, et consigne donnée aux titulaires de signaler un jeton refusé comme déjà utilisé.</w:t>
      </w:r>
    </w:p>
    <w:p>
      <w:pPr>
        <w:pStyle w:val="Heading1"/>
        <w:spacing w:after="140" w:before="320"/>
      </w:pPr>
      <w:r>
        <w:t xml:space="preserve">5. Formulation utilisable dans vos documents</w:t>
      </w:r>
    </w:p>
    <w:p>
      <w:pPr>
        <w:spacing w:after="140"/>
      </w:pPr>
      <w:r>
        <w:rPr>
          <w:sz w:val="20"/>
          <w:szCs w:val="20"/>
        </w:rPr>
        <w:t xml:space="preserve">Si vous devez décrire Filum dans votre dossier qualité, la formulation suivante est exacte et défendable devant un inspecteur :</w:t>
      </w:r>
    </w:p>
    <w:p>
      <w:pPr>
        <w:spacing w:after="200"/>
        <w:ind w:left="400" w:right="400"/>
      </w:pPr>
      <w:r>
        <w:rPr>
          <w:i/>
          <w:iCs/>
          <w:sz w:val="17"/>
          <w:szCs w:val="17"/>
        </w:rPr>
        <w:t xml:space="preserve">« Filum est conçu pour soutenir la conformité 21 CFR Part 11 et ISO 13485 de notre organisation. Le logiciel implémente les contrôles techniques dont la réglementation dépend : accès restreint et authentifié, contrôles d'autorité par rôle vérifiés côté serveur, piste d'audit horodatée par le système et attribuée nominativement, cycle de vie documentaire à états contrôlés avec invalidation automatique des signatures à toute reprise du contenu, et signature électronique exigeant deux composants à chaque apposition. La certification §11.100(c) auprès de la FDA, la validation du système dans notre environnement, la vérification d'identité des signataires, la formation du personnel et les politiques écrites de responsabilisation restent à notre charge. L'éditeur fournit une matrice clause par clause indiquant ce que le logiciel implémente et ce qui relève de nos procédures. »</w:t>
      </w:r>
    </w:p>
    <w:p>
      <w:pPr>
        <w:spacing w:after="200"/>
      </w:pPr>
      <w:r>
        <w:rPr>
          <w:b/>
          <w:bCs/>
          <w:sz w:val="20"/>
          <w:szCs w:val="20"/>
        </w:rPr>
        <w:t xml:space="preserve">À l'inverse, la mention « Filum est conforme 21 CFR Part 11 » ne doit apparaître nulle part : elle serait juridiquement inopérante et vous décrédibiliserait devant un inspecteur.</w:t>
      </w:r>
    </w:p>
    <w:sectPr>
      <w:headerReference w:type="default" r:id="rId7"/>
      <w:footerReference w:type="default" r:id="rId8"/>
      <w:pgSz w:w="11906" w:h="16838" w:orient="portrait"/>
      <w:pgMar w:top="900" w:right="800" w:bottom="900" w:left="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75569"/>
        <w:sz w:val="15"/>
        <w:szCs w:val="15"/>
      </w:rPr>
      <w:t xml:space="preserve">Page </w:t>
    </w:r>
    <w:r>
      <w:rPr>
        <w:color w:val="475569"/>
        <w:sz w:val="15"/>
        <w:szCs w:val="15"/>
      </w:rPr>
      <w:fldChar w:fldCharType="begin"/>
      <w:instrText xml:space="preserve">PAGE</w:instrText>
      <w:fldChar w:fldCharType="separate"/>
      <w:fldChar w:fldCharType="end"/>
    </w:r>
    <w:r>
      <w:rPr>
        <w:color w:val="475569"/>
        <w:sz w:val="15"/>
        <w:szCs w:val="15"/>
      </w:rPr>
      <w:t xml:space="preserve"> sur </w:t>
    </w:r>
    <w:r>
      <w:rPr>
        <w:color w:val="475569"/>
        <w:sz w:val="15"/>
        <w:szCs w:val="15"/>
      </w:rPr>
      <w:fldChar w:fldCharType="begin"/>
      <w:instrText xml:space="preserve">NUMPAGES</w:instrText>
      <w:fldChar w:fldCharType="separate"/>
      <w:fldChar w:fldCharType="end"/>
    </w:r>
    <w:r>
      <w:rPr>
        <w:color w:val="475569"/>
        <w:sz w:val="15"/>
        <w:szCs w:val="15"/>
      </w:rPr>
      <w:t xml:space="preserve">   ·   Ce document décrit l'état du logiciel à la version livrée. Il est mis à jour à chaque version.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color w:val="475569"/>
        <w:sz w:val="15"/>
        <w:szCs w:val="15"/>
      </w:rPr>
      <w:t xml:space="preserve">Filum — Matrice 21 CFR Part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40" w:before="320"/>
    </w:pPr>
    <w:rPr>
      <w:rFonts w:ascii="Calibri" w:cs="Calibri" w:eastAsia="Calibri" w:hAnsi="Calibri"/>
      <w:b/>
      <w:bCs/>
      <w:color w:val="4338C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2026-10-01T11:26:59.410Z</dcterms:created>
  <dcterms:modified xsi:type="dcterms:W3CDTF">2026-10-01T11:26:59.411Z</dcterms:modified>
</cp:coreProperties>
</file>

<file path=docProps/custom.xml><?xml version="1.0" encoding="utf-8"?>
<Properties xmlns="http://schemas.openxmlformats.org/officeDocument/2006/custom-properties" xmlns:vt="http://schemas.openxmlformats.org/officeDocument/2006/docPropsVTypes"/>
</file>