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Note de correspondance — Annexe 11</w:t>
      </w:r>
    </w:p>
    <w:p>
      <w:pPr>
        <w:spacing w:after="700"/>
        <w:jc w:val="center"/>
      </w:pPr>
      <w:r>
        <w:rPr>
          <w:color w:val="475569"/>
          <w:sz w:val="22"/>
          <w:szCs w:val="22"/>
        </w:rPr>
        <w:t xml:space="preserve">BPF européennes, projet de révision du 7 juillet 2025 · Ceci n'est pas une déclaration de conformité</w:t>
      </w:r>
    </w:p>
    <w:p>
      <w:pPr>
        <w:pStyle w:val="Heading1"/>
        <w:spacing w:after="140" w:before="320"/>
      </w:pPr>
      <w:r>
        <w:t xml:space="preserve">1. À lire avant tout le reste</w:t>
      </w:r>
    </w:p>
    <w:p>
      <w:pPr>
        <w:spacing w:after="160"/>
      </w:pPr>
      <w:r>
        <w:rPr>
          <w:sz w:val="20"/>
          <w:szCs w:val="20"/>
        </w:rPr>
        <w:t xml:space="preserve">Trois réserves commandent l'ensemble de ce document. Elles ne sont pas des précautions de style : elles déterminent ce que ce document peut et ne peut pas servir à démontrer.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
            <w:shd w:fill="FEF3C7"/>
            <w:tcMar>
              <w:top w:type="dxa" w:w="80"/>
              <w:left w:type="dxa" w:w="110"/>
              <w:bottom w:type="dxa" w:w="80"/>
              <w:right w:type="dxa" w:w="110"/>
            </w:tcMar>
          </w:tcPr>
          <w:p>
            <w:pPr>
              <w:spacing w:after="0"/>
              <w:jc w:val="center"/>
            </w:pPr>
            <w:r>
              <w:rPr>
                <w:b/>
                <w:bCs/>
                <w:color w:val="92400E"/>
                <w:sz w:val="24"/>
                <w:szCs w:val="24"/>
              </w:rPr>
              <w:t xml:space="preserve">1</w:t>
            </w:r>
          </w:p>
        </w:tc>
        <w:tc>
          <w:tcPr>
            <w:tcW w:type="pct" w:w="94%"/>
            <w:shd w:fill="FEF3C7"/>
            <w:tcMar>
              <w:top w:type="dxa" w:w="80"/>
              <w:left w:type="dxa" w:w="110"/>
              <w:bottom w:type="dxa" w:w="80"/>
              <w:right w:type="dxa" w:w="110"/>
            </w:tcMar>
          </w:tcPr>
          <w:p>
            <w:pPr>
              <w:spacing w:after="0"/>
            </w:pPr>
            <w:r>
              <w:rPr>
                <w:sz w:val="17"/>
                <w:szCs w:val="17"/>
              </w:rPr>
              <w:t xml:space="preserve">L'Annexe 11 relève des bonnes pratiques de fabrication des médicaments. Elle ne s'applique pas de plein droit à un logiciel de maîtrise de la conception de dispositifs médicaux : pour un fabricant de DM ou de DMDIV, l'exigence équivalente est l'ISO 13485 §4.1.6, traitée par le dossier de validation. Cette note s'adresse aux organisations qui appliquent l'Annexe 11 volontairement ou qui opèrent sous les deux cadres.</w:t>
            </w:r>
          </w:p>
        </w:tc>
      </w:tr>
    </w:tbl>
    <w:p>
      <w:pPr>
        <w:spacing w:after="8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
            <w:shd w:fill="FEF3C7"/>
            <w:tcMar>
              <w:top w:type="dxa" w:w="80"/>
              <w:left w:type="dxa" w:w="110"/>
              <w:bottom w:type="dxa" w:w="80"/>
              <w:right w:type="dxa" w:w="110"/>
            </w:tcMar>
          </w:tcPr>
          <w:p>
            <w:pPr>
              <w:spacing w:after="0"/>
              <w:jc w:val="center"/>
            </w:pPr>
            <w:r>
              <w:rPr>
                <w:b/>
                <w:bCs/>
                <w:color w:val="92400E"/>
                <w:sz w:val="24"/>
                <w:szCs w:val="24"/>
              </w:rPr>
              <w:t xml:space="preserve">2</w:t>
            </w:r>
          </w:p>
        </w:tc>
        <w:tc>
          <w:tcPr>
            <w:tcW w:type="pct" w:w="94%"/>
            <w:shd w:fill="FEF3C7"/>
            <w:tcMar>
              <w:top w:type="dxa" w:w="80"/>
              <w:left w:type="dxa" w:w="110"/>
              <w:bottom w:type="dxa" w:w="80"/>
              <w:right w:type="dxa" w:w="110"/>
            </w:tcMar>
          </w:tcPr>
          <w:p>
            <w:pPr>
              <w:spacing w:after="0"/>
            </w:pPr>
            <w:r>
              <w:rPr>
                <w:sz w:val="17"/>
                <w:szCs w:val="17"/>
              </w:rPr>
              <w:t xml:space="preserve">Le texte visé est un PROJET, publié le 7 juillet 2025, dont la consultation s'est close le 7 octobre 2025. La version finale est attendue mi-2026. Les intitulés de chapitre et les formulations peuvent changer : cette note sera reprise à la publication du texte définitif.</w:t>
            </w:r>
          </w:p>
        </w:tc>
      </w:tr>
    </w:tbl>
    <w:p>
      <w:pPr>
        <w:spacing w:after="8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
            <w:shd w:fill="FEF3C7"/>
            <w:tcMar>
              <w:top w:type="dxa" w:w="80"/>
              <w:left w:type="dxa" w:w="110"/>
              <w:bottom w:type="dxa" w:w="80"/>
              <w:right w:type="dxa" w:w="110"/>
            </w:tcMar>
          </w:tcPr>
          <w:p>
            <w:pPr>
              <w:spacing w:after="0"/>
              <w:jc w:val="center"/>
            </w:pPr>
            <w:r>
              <w:rPr>
                <w:b/>
                <w:bCs/>
                <w:color w:val="92400E"/>
                <w:sz w:val="24"/>
                <w:szCs w:val="24"/>
              </w:rPr>
              <w:t xml:space="preserve">3</w:t>
            </w:r>
          </w:p>
        </w:tc>
        <w:tc>
          <w:tcPr>
            <w:tcW w:type="pct" w:w="94%"/>
            <w:shd w:fill="FEF3C7"/>
            <w:tcMar>
              <w:top w:type="dxa" w:w="80"/>
              <w:left w:type="dxa" w:w="110"/>
              <w:bottom w:type="dxa" w:w="80"/>
              <w:right w:type="dxa" w:w="110"/>
            </w:tcMar>
          </w:tcPr>
          <w:p>
            <w:pPr>
              <w:spacing w:after="0"/>
            </w:pPr>
            <w:r>
              <w:rPr>
                <w:sz w:val="17"/>
                <w:szCs w:val="17"/>
              </w:rPr>
              <w:t xml:space="preserve">Aucune mention de conformité n'est portée ici, et aucune ne le sera. La conformité d'un système informatisé se prononce par l'organisation qui l'exploite, sur son usage prévu et dans son environnement — jamais par l'éditeur.</w:t>
            </w:r>
          </w:p>
        </w:tc>
      </w:tr>
    </w:tbl>
    <w:p>
      <w:pPr>
        <w:spacing w:after="80"/>
      </w:pPr>
      <w:r>
        <w:rPr>
          <w:sz w:val="20"/>
          <w:szCs w:val="20"/>
        </w:rPr>
        <w:t xml:space="preserve"/>
      </w:r>
    </w:p>
    <w:p>
      <w:pPr>
        <w:pStyle w:val="Heading1"/>
        <w:spacing w:after="140" w:before="320"/>
      </w:pPr>
      <w:r>
        <w:t xml:space="preserve">2. Pourquoi cette note existe malgré tout</w:t>
      </w:r>
    </w:p>
    <w:p>
      <w:pPr>
        <w:spacing w:after="160"/>
      </w:pPr>
      <w:r>
        <w:rPr>
          <w:sz w:val="20"/>
          <w:szCs w:val="20"/>
        </w:rPr>
        <w:t xml:space="preserve">Parce que la question est posée. Une assurance qualité venue du médicament, un groupe qui exploite à la fois des sites pharmaceutiques et une activité dispositif, un fabricant de produit combiné : dans chacun de ces cas, quelqu'un demandera comment Filum se situe vis-à-vis de l'Annexe 11. Répondre « ce n'est pas applicable » est juste, mais insuffisant — l'interlocuteur veut savoir si les contrôles qu'il connaît existent, sous un autre nom.</w:t>
      </w:r>
    </w:p>
    <w:p>
      <w:pPr>
        <w:spacing w:after="160"/>
      </w:pPr>
      <w:r>
        <w:rPr>
          <w:sz w:val="20"/>
          <w:szCs w:val="20"/>
        </w:rPr>
        <w:t xml:space="preserve">Ce document répond à cette question-là, et à aucune autre. Il ne remplace pas l'évaluation que votre organisation doit conduire, et il ne peut être cité comme preuve de conformité à un texte qui n'est pas encore adopté.</w:t>
      </w:r>
    </w:p>
    <w:p>
      <w:pPr>
        <w:pStyle w:val="Heading1"/>
        <w:spacing w:after="140" w:before="320"/>
      </w:pPr>
      <w:r>
        <w:t xml:space="preserve">3. Ce qui change dans le projet de 2025</w:t>
      </w:r>
    </w:p>
    <w:p>
      <w:pPr>
        <w:spacing w:after="140"/>
      </w:pPr>
      <w:r>
        <w:rPr>
          <w:sz w:val="20"/>
          <w:szCs w:val="20"/>
        </w:rPr>
        <w:t xml:space="preserve">L'Annexe 11 en vigueur date de 2011 et tient en cinq pages. Le projet publié le 7 juillet 2025 en compte dix-neuf, organisées en dix-sept sections suivies d'un glossaire. Les ajouts les plus notables :</w:t>
      </w:r>
    </w:p>
    <w:p>
      <w:pPr>
        <w:pStyle w:val="ListParagraph"/>
        <w:numPr>
          <w:ilvl w:val="0"/>
          <w:numId w:val="1"/>
        </w:numPr>
        <w:spacing w:after="80"/>
      </w:pPr>
      <w:r>
        <w:rPr>
          <w:sz w:val="17"/>
          <w:szCs w:val="17"/>
        </w:rPr>
        <w:t xml:space="preserve">Un chapitre entier sur les alarmes du système, absent de la version de 2011.</w:t>
      </w:r>
    </w:p>
    <w:p>
      <w:pPr>
        <w:pStyle w:val="ListParagraph"/>
        <w:numPr>
          <w:ilvl w:val="0"/>
          <w:numId w:val="1"/>
        </w:numPr>
        <w:spacing w:after="80"/>
      </w:pPr>
      <w:r>
        <w:rPr>
          <w:sz w:val="17"/>
          <w:szCs w:val="17"/>
        </w:rPr>
        <w:t xml:space="preserve">Une section fournisseurs et prestataires bien plus prescriptive, qui énumère neuf éléments que le contrat doit couvrir.</w:t>
      </w:r>
    </w:p>
    <w:p>
      <w:pPr>
        <w:pStyle w:val="ListParagraph"/>
        <w:numPr>
          <w:ilvl w:val="0"/>
          <w:numId w:val="1"/>
        </w:numPr>
        <w:spacing w:after="80"/>
      </w:pPr>
      <w:r>
        <w:rPr>
          <w:sz w:val="17"/>
          <w:szCs w:val="17"/>
        </w:rPr>
        <w:t xml:space="preserve">Dix sous-sections consacrées à la piste d'audit, dont l'exigence explicite d'une REVUE périodique à fréquence fondée sur le risque — la piste ne suffit plus, il faut prouver qu'on la lit.</w:t>
      </w:r>
    </w:p>
    <w:p>
      <w:pPr>
        <w:pStyle w:val="ListParagraph"/>
        <w:numPr>
          <w:ilvl w:val="0"/>
          <w:numId w:val="1"/>
        </w:numPr>
        <w:spacing w:after="80"/>
      </w:pPr>
      <w:r>
        <w:rPr>
          <w:sz w:val="17"/>
          <w:szCs w:val="17"/>
        </w:rPr>
        <w:t xml:space="preserve">Une vingtaine de sous-sections de sécurité : gestion des correctifs, tests d'intrusion, pare-feu, maîtrise des supports amovibles.</w:t>
      </w:r>
    </w:p>
    <w:p>
      <w:pPr>
        <w:pStyle w:val="ListParagraph"/>
        <w:numPr>
          <w:ilvl w:val="0"/>
          <w:numId w:val="1"/>
        </w:numPr>
        <w:spacing w:after="80"/>
      </w:pPr>
      <w:r>
        <w:rPr>
          <w:sz w:val="17"/>
          <w:szCs w:val="17"/>
        </w:rPr>
        <w:t xml:space="preserve">ALCOA+ nommé explicitement, là où la version de 2011 s'en tenait à l'exactitude et à la disponibilité.</w:t>
      </w:r>
    </w:p>
    <w:p>
      <w:pPr>
        <w:spacing w:after="160"/>
      </w:pPr>
      <w:r>
        <w:rPr>
          <w:b/>
          <w:bCs/>
          <w:sz w:val="20"/>
          <w:szCs w:val="20"/>
        </w:rPr>
        <w:t xml:space="preserve">Deux de ces ajouts touchent Filum directement, et il vaut mieux le dire ici qu'ailleurs : la revue périodique de la piste d'audit n'est pas encore outillée dans le logiciel (elle est au plan de développement), et aucun test d'intrusion par un tiers indépendant n'a été conduit à ce jour.</w:t>
      </w:r>
    </w:p>
    <w:p>
      <w:pPr>
        <w:pStyle w:val="Heading1"/>
        <w:spacing w:after="140" w:before="320"/>
      </w:pPr>
      <w:r>
        <w:t xml:space="preserve">4. Comment lire la correspondance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4%"/>
            <w:shd w:fill="DCFCE7"/>
            <w:tcMar>
              <w:top w:type="dxa" w:w="80"/>
              <w:left w:type="dxa" w:w="110"/>
              <w:bottom w:type="dxa" w:w="80"/>
              <w:right w:type="dxa" w:w="110"/>
            </w:tcMar>
          </w:tcPr>
          <w:p>
            <w:pPr>
              <w:spacing w:after="0"/>
            </w:pPr>
            <w:r>
              <w:rPr>
                <w:b/>
                <w:bCs/>
                <w:color w:val="166534"/>
                <w:sz w:val="17"/>
                <w:szCs w:val="17"/>
              </w:rPr>
              <w:t xml:space="preserve">Assuré par le logiciel</w:t>
            </w:r>
          </w:p>
        </w:tc>
        <w:tc>
          <w:tcPr>
            <w:tcW w:type="pct" w:w="76%"/>
            <w:tcMar>
              <w:top w:type="dxa" w:w="80"/>
              <w:left w:type="dxa" w:w="110"/>
              <w:bottom w:type="dxa" w:w="80"/>
              <w:right w:type="dxa" w:w="110"/>
            </w:tcMar>
          </w:tcPr>
          <w:p>
            <w:pPr>
              <w:spacing w:after="0"/>
            </w:pPr>
            <w:r>
              <w:rPr>
                <w:sz w:val="17"/>
                <w:szCs w:val="17"/>
              </w:rPr>
              <w:t xml:space="preserve">Le logiciel couvre l'attendu pour ce qui relève d'un logiciel, et le comportement est vérifiable en séance.</w:t>
            </w:r>
          </w:p>
        </w:tc>
      </w:tr>
      <w:tr>
        <w:tc>
          <w:tcPr>
            <w:tcW w:type="pct" w:w="24%"/>
            <w:shd w:fill="FEF3C7"/>
            <w:tcMar>
              <w:top w:type="dxa" w:w="80"/>
              <w:left w:type="dxa" w:w="110"/>
              <w:bottom w:type="dxa" w:w="80"/>
              <w:right w:type="dxa" w:w="110"/>
            </w:tcMar>
          </w:tcPr>
          <w:p>
            <w:pPr>
              <w:spacing w:after="0"/>
            </w:pPr>
            <w:r>
              <w:rPr>
                <w:b/>
                <w:bCs/>
                <w:color w:val="92400E"/>
                <w:sz w:val="17"/>
                <w:szCs w:val="17"/>
              </w:rPr>
              <w:t xml:space="preserve">Partiel</w:t>
            </w:r>
          </w:p>
        </w:tc>
        <w:tc>
          <w:tcPr>
            <w:tcW w:type="pct" w:w="76%"/>
            <w:tcMar>
              <w:top w:type="dxa" w:w="80"/>
              <w:left w:type="dxa" w:w="110"/>
              <w:bottom w:type="dxa" w:w="80"/>
              <w:right w:type="dxa" w:w="110"/>
            </w:tcMar>
          </w:tcPr>
          <w:p>
            <w:pPr>
              <w:spacing w:after="0"/>
            </w:pPr>
            <w:r>
              <w:rPr>
                <w:sz w:val="17"/>
                <w:szCs w:val="17"/>
              </w:rPr>
              <w:t xml:space="preserve">Le logiciel en couvre une part ; ce qui manque est dit sans détour dans la colonne de droite.</w:t>
            </w:r>
          </w:p>
        </w:tc>
      </w:tr>
      <w:tr>
        <w:tc>
          <w:tcPr>
            <w:tcW w:type="pct" w:w="24%"/>
            <w:shd w:fill="DBEAFE"/>
            <w:tcMar>
              <w:top w:type="dxa" w:w="80"/>
              <w:left w:type="dxa" w:w="110"/>
              <w:bottom w:type="dxa" w:w="80"/>
              <w:right w:type="dxa" w:w="110"/>
            </w:tcMar>
          </w:tcPr>
          <w:p>
            <w:pPr>
              <w:spacing w:after="0"/>
            </w:pPr>
            <w:r>
              <w:rPr>
                <w:b/>
                <w:bCs/>
                <w:color w:val="1E40AF"/>
                <w:sz w:val="17"/>
                <w:szCs w:val="17"/>
              </w:rPr>
              <w:t xml:space="preserve">Votre organisation</w:t>
            </w:r>
          </w:p>
        </w:tc>
        <w:tc>
          <w:tcPr>
            <w:tcW w:type="pct" w:w="76%"/>
            <w:tcMar>
              <w:top w:type="dxa" w:w="80"/>
              <w:left w:type="dxa" w:w="110"/>
              <w:bottom w:type="dxa" w:w="80"/>
              <w:right w:type="dxa" w:w="110"/>
            </w:tcMar>
          </w:tcPr>
          <w:p>
            <w:pPr>
              <w:spacing w:after="0"/>
            </w:pPr>
            <w:r>
              <w:rPr>
                <w:sz w:val="17"/>
                <w:szCs w:val="17"/>
              </w:rPr>
              <w:t xml:space="preserve">L'attendu relève de vos procédures. Aucune ligne de code ne peut le satisfaire à votre place.</w:t>
            </w:r>
          </w:p>
        </w:tc>
      </w:tr>
      <w:tr>
        <w:tc>
          <w:tcPr>
            <w:tcW w:type="pct" w:w="24%"/>
            <w:shd w:fill="F1F5F9"/>
            <w:tcMar>
              <w:top w:type="dxa" w:w="80"/>
              <w:left w:type="dxa" w:w="110"/>
              <w:bottom w:type="dxa" w:w="80"/>
              <w:right w:type="dxa" w:w="110"/>
            </w:tcMar>
          </w:tcPr>
          <w:p>
            <w:pPr>
              <w:spacing w:after="0"/>
            </w:pPr>
            <w:r>
              <w:rPr>
                <w:b/>
                <w:bCs/>
                <w:color w:val="475569"/>
                <w:sz w:val="17"/>
                <w:szCs w:val="17"/>
              </w:rPr>
              <w:t xml:space="preserve">Hors périmètre</w:t>
            </w:r>
          </w:p>
        </w:tc>
        <w:tc>
          <w:tcPr>
            <w:tcW w:type="pct" w:w="76%"/>
            <w:tcMar>
              <w:top w:type="dxa" w:w="80"/>
              <w:left w:type="dxa" w:w="110"/>
              <w:bottom w:type="dxa" w:w="80"/>
              <w:right w:type="dxa" w:w="110"/>
            </w:tcMar>
          </w:tcPr>
          <w:p>
            <w:pPr>
              <w:spacing w:after="0"/>
            </w:pPr>
            <w:r>
              <w:rPr>
                <w:sz w:val="17"/>
                <w:szCs w:val="17"/>
              </w:rPr>
              <w:t xml:space="preserve">L'attendu ne trouve pas d'objet dans ce type de système, pour la raison indiquée.</w:t>
            </w:r>
          </w:p>
        </w:tc>
      </w:tr>
    </w:tbl>
    <w:p>
      <w:pPr>
        <w:pStyle w:val="Heading1"/>
        <w:spacing w:after="140" w:before="320"/>
      </w:pPr>
      <w:r>
        <w:t xml:space="preserve">5. Correspondance chapitre par chapitre</w:t>
      </w:r>
    </w:p>
    <w:p>
      <w:pPr>
        <w:spacing w:after="140"/>
      </w:pPr>
      <w:r>
        <w:rPr>
          <w:i/>
          <w:iCs/>
          <w:color w:val="475569"/>
          <w:sz w:val="17"/>
          <w:szCs w:val="17"/>
        </w:rPr>
        <w:t xml:space="preserve">Les intitulés de chapitre suivent le projet de juillet 2025 et non la version de 2011. Ils sont susceptibles d'évoluer d'ici la publication du texte définitif.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6%"/>
            <w:shd w:fill="E0E7FF"/>
            <w:tcMar>
              <w:top w:type="dxa" w:w="80"/>
              <w:left w:type="dxa" w:w="110"/>
              <w:bottom w:type="dxa" w:w="80"/>
              <w:right w:type="dxa" w:w="110"/>
            </w:tcMar>
          </w:tcPr>
          <w:p>
            <w:pPr>
              <w:spacing w:after="0"/>
            </w:pPr>
            <w:r>
              <w:rPr>
                <w:b/>
                <w:bCs/>
                <w:sz w:val="17"/>
                <w:szCs w:val="17"/>
              </w:rPr>
              <w:t xml:space="preserve">Chapitre / état</w:t>
            </w:r>
          </w:p>
        </w:tc>
        <w:tc>
          <w:tcPr>
            <w:tcW w:type="pct" w:w="25%"/>
            <w:shd w:fill="E0E7FF"/>
            <w:tcMar>
              <w:top w:type="dxa" w:w="80"/>
              <w:left w:type="dxa" w:w="110"/>
              <w:bottom w:type="dxa" w:w="80"/>
              <w:right w:type="dxa" w:w="110"/>
            </w:tcMar>
          </w:tcPr>
          <w:p>
            <w:pPr>
              <w:spacing w:after="0"/>
            </w:pPr>
            <w:r>
              <w:rPr>
                <w:b/>
                <w:bCs/>
                <w:sz w:val="17"/>
                <w:szCs w:val="17"/>
              </w:rPr>
              <w:t xml:space="preserve">Ce qu'attend le projet</w:t>
            </w:r>
          </w:p>
        </w:tc>
        <w:tc>
          <w:tcPr>
            <w:tcW w:type="pct" w:w="34%"/>
            <w:shd w:fill="E0E7FF"/>
            <w:tcMar>
              <w:top w:type="dxa" w:w="80"/>
              <w:left w:type="dxa" w:w="110"/>
              <w:bottom w:type="dxa" w:w="80"/>
              <w:right w:type="dxa" w:w="110"/>
            </w:tcMar>
          </w:tcPr>
          <w:p>
            <w:pPr>
              <w:spacing w:after="0"/>
            </w:pPr>
            <w:r>
              <w:rPr>
                <w:b/>
                <w:bCs/>
                <w:sz w:val="17"/>
                <w:szCs w:val="17"/>
              </w:rPr>
              <w:t xml:space="preserve">Ce que Filum apporte</w:t>
            </w:r>
          </w:p>
        </w:tc>
        <w:tc>
          <w:tcPr>
            <w:tcW w:type="pct" w:w="25%"/>
            <w:shd w:fill="E0E7FF"/>
            <w:tcMar>
              <w:top w:type="dxa" w:w="80"/>
              <w:left w:type="dxa" w:w="110"/>
              <w:bottom w:type="dxa" w:w="80"/>
              <w:right w:type="dxa" w:w="110"/>
            </w:tcMar>
          </w:tcPr>
          <w:p>
            <w:pPr>
              <w:spacing w:after="0"/>
            </w:pPr>
            <w:r>
              <w:rPr>
                <w:b/>
                <w:bCs/>
                <w:sz w:val="17"/>
                <w:szCs w:val="17"/>
              </w:rPr>
              <w:t xml:space="preserve">Ce qui relève de votre organisation</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Gestion des risques</w:t>
            </w:r>
          </w:p>
          <w:p>
            <w:pPr>
              <w:spacing w:after="0"/>
            </w:pPr>
            <w:r>
              <w:rPr>
                <w:b/>
                <w:bCs/>
                <w:color w:val="92400E"/>
                <w:sz w:val="15"/>
                <w:szCs w:val="15"/>
              </w:rPr>
              <w:t xml:space="preserve">Partiel</w:t>
            </w:r>
          </w:p>
        </w:tc>
        <w:tc>
          <w:tcPr>
            <w:tcW w:type="pct" w:w="25%"/>
            <w:tcMar>
              <w:top w:type="dxa" w:w="80"/>
              <w:left w:type="dxa" w:w="110"/>
              <w:bottom w:type="dxa" w:w="80"/>
              <w:right w:type="dxa" w:w="110"/>
            </w:tcMar>
          </w:tcPr>
          <w:p>
            <w:pPr>
              <w:spacing w:after="0"/>
            </w:pPr>
            <w:r>
              <w:rPr>
                <w:sz w:val="17"/>
                <w:szCs w:val="17"/>
              </w:rPr>
              <w:t xml:space="preserve">L'effort de maîtrise est proportionné au risque que la défaillance du système fait porter au produit et aux données.</w:t>
            </w:r>
          </w:p>
        </w:tc>
        <w:tc>
          <w:tcPr>
            <w:tcW w:type="pct" w:w="34%"/>
            <w:tcMar>
              <w:top w:type="dxa" w:w="80"/>
              <w:left w:type="dxa" w:w="110"/>
              <w:bottom w:type="dxa" w:w="80"/>
              <w:right w:type="dxa" w:w="110"/>
            </w:tcMar>
          </w:tcPr>
          <w:p>
            <w:pPr>
              <w:spacing w:after="0"/>
            </w:pPr>
            <w:r>
              <w:rPr>
                <w:sz w:val="17"/>
                <w:szCs w:val="17"/>
              </w:rPr>
              <w:t xml:space="preserve">Chacune des exigences de validation porte un niveau de risque, et c'est lui qui détermine la profondeur de vérification. Le dossier de validation expose la répartition et la justifie exigence par exigence.</w:t>
            </w:r>
          </w:p>
        </w:tc>
        <w:tc>
          <w:tcPr>
            <w:tcW w:type="pct" w:w="25%"/>
            <w:tcMar>
              <w:top w:type="dxa" w:w="80"/>
              <w:left w:type="dxa" w:w="110"/>
              <w:bottom w:type="dxa" w:w="80"/>
              <w:right w:type="dxa" w:w="110"/>
            </w:tcMar>
          </w:tcPr>
          <w:p>
            <w:pPr>
              <w:spacing w:after="0"/>
            </w:pPr>
            <w:r>
              <w:rPr>
                <w:sz w:val="17"/>
                <w:szCs w:val="17"/>
              </w:rPr>
              <w:t xml:space="preserve">L'appréciation du risque pour VOTRE usage prévu : quels enregistrements le logiciel porte chez vous, et quelles décisions s'appuient dessus.</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Personnel</w:t>
            </w:r>
          </w:p>
          <w:p>
            <w:pPr>
              <w:spacing w:after="0"/>
            </w:pPr>
            <w:r>
              <w:rPr>
                <w:b/>
                <w:bCs/>
                <w:color w:val="92400E"/>
                <w:sz w:val="15"/>
                <w:szCs w:val="15"/>
              </w:rPr>
              <w:t xml:space="preserve">Partiel</w:t>
            </w:r>
          </w:p>
        </w:tc>
        <w:tc>
          <w:tcPr>
            <w:tcW w:type="pct" w:w="25%"/>
            <w:tcMar>
              <w:top w:type="dxa" w:w="80"/>
              <w:left w:type="dxa" w:w="110"/>
              <w:bottom w:type="dxa" w:w="80"/>
              <w:right w:type="dxa" w:w="110"/>
            </w:tcMar>
          </w:tcPr>
          <w:p>
            <w:pPr>
              <w:spacing w:after="0"/>
            </w:pPr>
            <w:r>
              <w:rPr>
                <w:sz w:val="17"/>
                <w:szCs w:val="17"/>
              </w:rPr>
              <w:t xml:space="preserve">Les rôles, responsabilités et habilitations sont définis, et les accès reflètent la fonction réelle.</w:t>
            </w:r>
          </w:p>
        </w:tc>
        <w:tc>
          <w:tcPr>
            <w:tcW w:type="pct" w:w="34%"/>
            <w:tcMar>
              <w:top w:type="dxa" w:w="80"/>
              <w:left w:type="dxa" w:w="110"/>
              <w:bottom w:type="dxa" w:w="80"/>
              <w:right w:type="dxa" w:w="110"/>
            </w:tcMar>
          </w:tcPr>
          <w:p>
            <w:pPr>
              <w:spacing w:after="0"/>
            </w:pPr>
            <w:r>
              <w:rPr>
                <w:sz w:val="17"/>
                <w:szCs w:val="17"/>
              </w:rPr>
              <w:t xml:space="preserve">Quatre rôles à autorité croissante, contrôlés côté serveur sur chaque opération. Un cas de qualification rejoue la table de vérité complète des douze combinaisons rôle × seuil à chaque version.</w:t>
            </w:r>
          </w:p>
        </w:tc>
        <w:tc>
          <w:tcPr>
            <w:tcW w:type="pct" w:w="25%"/>
            <w:tcMar>
              <w:top w:type="dxa" w:w="80"/>
              <w:left w:type="dxa" w:w="110"/>
              <w:bottom w:type="dxa" w:w="80"/>
              <w:right w:type="dxa" w:w="110"/>
            </w:tcMar>
          </w:tcPr>
          <w:p>
            <w:pPr>
              <w:spacing w:after="0"/>
            </w:pPr>
            <w:r>
              <w:rPr>
                <w:sz w:val="17"/>
                <w:szCs w:val="17"/>
              </w:rPr>
              <w:t xml:space="preserve">L'attribution nominative des rôles, sa revue périodique, et la procédure d'entrée-sortie du personnel.</w:t>
            </w:r>
          </w:p>
        </w:tc>
      </w:tr>
      <w:tr>
        <w:tc>
          <w:tcPr>
            <w:tcW w:type="pct" w:w="16%"/>
            <w:shd w:fill="DBEAFE"/>
            <w:tcMar>
              <w:top w:type="dxa" w:w="80"/>
              <w:left w:type="dxa" w:w="110"/>
              <w:bottom w:type="dxa" w:w="80"/>
              <w:right w:type="dxa" w:w="110"/>
            </w:tcMar>
          </w:tcPr>
          <w:p>
            <w:pPr>
              <w:spacing w:after="60"/>
            </w:pPr>
            <w:r>
              <w:rPr>
                <w:b/>
                <w:bCs/>
                <w:color w:val="4338CA"/>
                <w:sz w:val="17"/>
                <w:szCs w:val="17"/>
              </w:rPr>
              <w:t xml:space="preserve">Fournisseurs et prestataires</w:t>
            </w:r>
          </w:p>
          <w:p>
            <w:pPr>
              <w:spacing w:after="0"/>
            </w:pPr>
            <w:r>
              <w:rPr>
                <w:b/>
                <w:bCs/>
                <w:color w:val="1E40AF"/>
                <w:sz w:val="15"/>
                <w:szCs w:val="15"/>
              </w:rPr>
              <w:t xml:space="preserve">Votre organisation</w:t>
            </w:r>
          </w:p>
        </w:tc>
        <w:tc>
          <w:tcPr>
            <w:tcW w:type="pct" w:w="25%"/>
            <w:tcMar>
              <w:top w:type="dxa" w:w="80"/>
              <w:left w:type="dxa" w:w="110"/>
              <w:bottom w:type="dxa" w:w="80"/>
              <w:right w:type="dxa" w:w="110"/>
            </w:tcMar>
          </w:tcPr>
          <w:p>
            <w:pPr>
              <w:spacing w:after="0"/>
            </w:pPr>
            <w:r>
              <w:rPr>
                <w:sz w:val="17"/>
                <w:szCs w:val="17"/>
              </w:rPr>
              <w:t xml:space="preserve">Le fournisseur est évalué, et le contrat fixe les responsabilités respectives — le projet en énumère neuf éléments obligatoires.</w:t>
            </w:r>
          </w:p>
        </w:tc>
        <w:tc>
          <w:tcPr>
            <w:tcW w:type="pct" w:w="34%"/>
            <w:tcMar>
              <w:top w:type="dxa" w:w="80"/>
              <w:left w:type="dxa" w:w="110"/>
              <w:bottom w:type="dxa" w:w="80"/>
              <w:right w:type="dxa" w:w="110"/>
            </w:tcMar>
          </w:tcPr>
          <w:p>
            <w:pPr>
              <w:spacing w:after="0"/>
            </w:pPr>
            <w:r>
              <w:rPr>
                <w:sz w:val="17"/>
                <w:szCs w:val="17"/>
              </w:rPr>
              <w:t xml:space="preserve">Le dossier de validation, la matrice 21 CFR Part 11, la note d'intégrité des données et la note de rétention constituent le dossier d'évaluation fournisseur, remis sans demande.</w:t>
            </w:r>
          </w:p>
        </w:tc>
        <w:tc>
          <w:tcPr>
            <w:tcW w:type="pct" w:w="25%"/>
            <w:tcMar>
              <w:top w:type="dxa" w:w="80"/>
              <w:left w:type="dxa" w:w="110"/>
              <w:bottom w:type="dxa" w:w="80"/>
              <w:right w:type="dxa" w:w="110"/>
            </w:tcMar>
          </w:tcPr>
          <w:p>
            <w:pPr>
              <w:spacing w:after="0"/>
            </w:pPr>
            <w:r>
              <w:rPr>
                <w:sz w:val="17"/>
                <w:szCs w:val="17"/>
              </w:rPr>
              <w:t xml:space="preserve">L'évaluation elle-même, le contrat et son contenu, et la surveillance du fournisseur dans la durée.</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Validation</w:t>
            </w:r>
          </w:p>
          <w:p>
            <w:pPr>
              <w:spacing w:after="0"/>
            </w:pPr>
            <w:r>
              <w:rPr>
                <w:b/>
                <w:bCs/>
                <w:color w:val="92400E"/>
                <w:sz w:val="15"/>
                <w:szCs w:val="15"/>
              </w:rPr>
              <w:t xml:space="preserve">Partiel</w:t>
            </w:r>
          </w:p>
        </w:tc>
        <w:tc>
          <w:tcPr>
            <w:tcW w:type="pct" w:w="25%"/>
            <w:tcMar>
              <w:top w:type="dxa" w:w="80"/>
              <w:left w:type="dxa" w:w="110"/>
              <w:bottom w:type="dxa" w:w="80"/>
              <w:right w:type="dxa" w:w="110"/>
            </w:tcMar>
          </w:tcPr>
          <w:p>
            <w:pPr>
              <w:spacing w:after="0"/>
            </w:pPr>
            <w:r>
              <w:rPr>
                <w:sz w:val="17"/>
                <w:szCs w:val="17"/>
              </w:rPr>
              <w:t xml:space="preserve">La validation couvre le cycle de vie complet, et son maintien est revu à une fréquence documentée — une qualification unique ne suffit plus.</w:t>
            </w:r>
          </w:p>
        </w:tc>
        <w:tc>
          <w:tcPr>
            <w:tcW w:type="pct" w:w="34%"/>
            <w:tcMar>
              <w:top w:type="dxa" w:w="80"/>
              <w:left w:type="dxa" w:w="110"/>
              <w:bottom w:type="dxa" w:w="80"/>
              <w:right w:type="dxa" w:w="110"/>
            </w:tcMar>
          </w:tcPr>
          <w:p>
            <w:pPr>
              <w:spacing w:after="0"/>
            </w:pPr>
            <w:r>
              <w:rPr>
                <w:sz w:val="17"/>
                <w:szCs w:val="17"/>
              </w:rPr>
              <w:t xml:space="preserve">La suite de qualification opérationnelle est rejouée à chaque modification du code, image livrée comprise, et le dossier de validation est produit depuis ses résultats — jamais rédigé. Un contrôle refuse d'émettre le dossier si la suite n'a pas tourné.</w:t>
            </w:r>
          </w:p>
        </w:tc>
        <w:tc>
          <w:tcPr>
            <w:tcW w:type="pct" w:w="25%"/>
            <w:tcMar>
              <w:top w:type="dxa" w:w="80"/>
              <w:left w:type="dxa" w:w="110"/>
              <w:bottom w:type="dxa" w:w="80"/>
              <w:right w:type="dxa" w:w="110"/>
            </w:tcMar>
          </w:tcPr>
          <w:p>
            <w:pPr>
              <w:spacing w:after="0"/>
            </w:pPr>
            <w:r>
              <w:rPr>
                <w:sz w:val="17"/>
                <w:szCs w:val="17"/>
              </w:rPr>
              <w:t xml:space="preserve">La qualification d'installation, la qualification de performance dans votre environnement, et la fréquence de revue de l'état validé.</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Données</w:t>
            </w:r>
          </w:p>
          <w:p>
            <w:pPr>
              <w:spacing w:after="0"/>
            </w:pPr>
            <w:r>
              <w:rPr>
                <w:b/>
                <w:bCs/>
                <w:color w:val="166534"/>
                <w:sz w:val="15"/>
                <w:szCs w:val="15"/>
              </w:rPr>
              <w:t xml:space="preserve">Assuré par le logiciel</w:t>
            </w:r>
          </w:p>
        </w:tc>
        <w:tc>
          <w:tcPr>
            <w:tcW w:type="pct" w:w="25%"/>
            <w:tcMar>
              <w:top w:type="dxa" w:w="80"/>
              <w:left w:type="dxa" w:w="110"/>
              <w:bottom w:type="dxa" w:w="80"/>
              <w:right w:type="dxa" w:w="110"/>
            </w:tcMar>
          </w:tcPr>
          <w:p>
            <w:pPr>
              <w:spacing w:after="0"/>
            </w:pPr>
            <w:r>
              <w:rPr>
                <w:sz w:val="17"/>
                <w:szCs w:val="17"/>
              </w:rPr>
              <w:t xml:space="preserve">Les données respectent ALCOA+ : attribuables, lisibles, contemporaines, originales, exactes, complètes, cohérentes, durables, disponibles.</w:t>
            </w:r>
          </w:p>
        </w:tc>
        <w:tc>
          <w:tcPr>
            <w:tcW w:type="pct" w:w="34%"/>
            <w:tcMar>
              <w:top w:type="dxa" w:w="80"/>
              <w:left w:type="dxa" w:w="110"/>
              <w:bottom w:type="dxa" w:w="80"/>
              <w:right w:type="dxa" w:w="110"/>
            </w:tcMar>
          </w:tcPr>
          <w:p>
            <w:pPr>
              <w:spacing w:after="0"/>
            </w:pPr>
            <w:r>
              <w:rPr>
                <w:sz w:val="17"/>
                <w:szCs w:val="17"/>
              </w:rPr>
              <w:t xml:space="preserve">Chaque écriture est attribuée à une personne authentifiée et horodatée par le serveur. Le contenu approuvé est gelé et servi tel quel, jamais régénéré ; une altération sur disque est détectée et refusée plutôt que servie.</w:t>
            </w:r>
          </w:p>
        </w:tc>
        <w:tc>
          <w:tcPr>
            <w:tcW w:type="pct" w:w="25%"/>
            <w:tcMar>
              <w:top w:type="dxa" w:w="80"/>
              <w:left w:type="dxa" w:w="110"/>
              <w:bottom w:type="dxa" w:w="80"/>
              <w:right w:type="dxa" w:w="110"/>
            </w:tcMar>
          </w:tcPr>
          <w:p>
            <w:pPr>
              <w:spacing w:after="0"/>
            </w:pPr>
            <w:r>
              <w:rPr>
                <w:sz w:val="17"/>
                <w:szCs w:val="17"/>
              </w:rPr>
              <w:t xml:space="preserve">La revue des données elle-même, et la décision de ce qui constitue un enregistrement chez vous.</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Piste d'audit</w:t>
            </w:r>
          </w:p>
          <w:p>
            <w:pPr>
              <w:spacing w:after="0"/>
            </w:pPr>
            <w:r>
              <w:rPr>
                <w:b/>
                <w:bCs/>
                <w:color w:val="166534"/>
                <w:sz w:val="15"/>
                <w:szCs w:val="15"/>
              </w:rPr>
              <w:t xml:space="preserve">Assuré par le logiciel</w:t>
            </w:r>
          </w:p>
        </w:tc>
        <w:tc>
          <w:tcPr>
            <w:tcW w:type="pct" w:w="25%"/>
            <w:tcMar>
              <w:top w:type="dxa" w:w="80"/>
              <w:left w:type="dxa" w:w="110"/>
              <w:bottom w:type="dxa" w:w="80"/>
              <w:right w:type="dxa" w:w="110"/>
            </w:tcMar>
          </w:tcPr>
          <w:p>
            <w:pPr>
              <w:spacing w:after="0"/>
            </w:pPr>
            <w:r>
              <w:rPr>
                <w:sz w:val="17"/>
                <w:szCs w:val="17"/>
              </w:rPr>
              <w:t xml:space="preserve">La piste enregistre la création autant que la modification et la suppression, elle est inaltérable, et elle est REVUE à une fréquence définie selon le risque.</w:t>
            </w:r>
          </w:p>
        </w:tc>
        <w:tc>
          <w:tcPr>
            <w:tcW w:type="pct" w:w="34%"/>
            <w:tcMar>
              <w:top w:type="dxa" w:w="80"/>
              <w:left w:type="dxa" w:w="110"/>
              <w:bottom w:type="dxa" w:w="80"/>
              <w:right w:type="dxa" w:w="110"/>
            </w:tcMar>
          </w:tcPr>
          <w:p>
            <w:pPr>
              <w:spacing w:after="0"/>
            </w:pPr>
            <w:r>
              <w:rPr>
                <w:sz w:val="17"/>
                <w:szCs w:val="17"/>
              </w:rPr>
              <w:t xml:space="preserve">Piste en ajout seul, chaînée cryptographiquement et lisible dans les deux langues : chaque entrée porte l'empreinte de la précédente — toute modification ou suppression faite directement en base est détectée au rang exact — et la clé de son message, si bien qu'une équipe anglophone relit son journal sans qu'il ait été réécrit. Et la piste est REVUE : chaque revue couvre une plage de RANGS, jamais de dates, et commence exactement au rang qui suit la précédente — aucune entrée ne peut donc s'écrire dans l'intervalle entre deux revues, et toute lacune de couverture est calculée. Des règles de triage risque-fondées désignent ce qui doit être lu une à une ; le reste est compté, et l'enregistrement le dit ainsi. Chaque entrée retenue reçoit un verdict motivé, la clôture est une signature liée à l'empreinte du contenu revu, et l'écart entre le dernier rang couvert et la tête de piste est affiché en permanence. La revue s'inscrit elle-même dans la piste, donc dans la fenêtre de la revue suivante : le travail du relecteur est relu.</w:t>
            </w:r>
          </w:p>
        </w:tc>
        <w:tc>
          <w:tcPr>
            <w:tcW w:type="pct" w:w="25%"/>
            <w:tcMar>
              <w:top w:type="dxa" w:w="80"/>
              <w:left w:type="dxa" w:w="110"/>
              <w:bottom w:type="dxa" w:w="80"/>
              <w:right w:type="dxa" w:w="110"/>
            </w:tcMar>
          </w:tcPr>
          <w:p>
            <w:pPr>
              <w:spacing w:after="0"/>
            </w:pPr>
            <w:r>
              <w:rPr>
                <w:sz w:val="17"/>
                <w:szCs w:val="17"/>
              </w:rPr>
              <w:t xml:space="preserve">La FRÉQUENCE de revue — Filum n'en impose aucune : la bonne période dépend de votre volume d'activité et de la criticité du système, et il ne peut pas en décider à votre place. Et le JUGEMENT porté : distinguer une modification légitime d'une modification suspecte demande de connaître le projet, le contexte et les gens. Filum présente, mesure et consigne ; il ne conclut pas. Vous décidez enfin si l'indépendance du relecteur est suffisante : elle est mesurée sur chaque revue et inscrite dans l'enregistrement, jamais imposée — l'exiger rendrait la revue impossible dans une équipe de trois personnes.</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Signatures électroniques</w:t>
            </w:r>
          </w:p>
          <w:p>
            <w:pPr>
              <w:spacing w:after="0"/>
            </w:pPr>
            <w:r>
              <w:rPr>
                <w:b/>
                <w:bCs/>
                <w:color w:val="166534"/>
                <w:sz w:val="15"/>
                <w:szCs w:val="15"/>
              </w:rPr>
              <w:t xml:space="preserve">Assuré par le logiciel</w:t>
            </w:r>
          </w:p>
        </w:tc>
        <w:tc>
          <w:tcPr>
            <w:tcW w:type="pct" w:w="25%"/>
            <w:tcMar>
              <w:top w:type="dxa" w:w="80"/>
              <w:left w:type="dxa" w:w="110"/>
              <w:bottom w:type="dxa" w:w="80"/>
              <w:right w:type="dxa" w:w="110"/>
            </w:tcMar>
          </w:tcPr>
          <w:p>
            <w:pPr>
              <w:spacing w:after="0"/>
            </w:pPr>
            <w:r>
              <w:rPr>
                <w:sz w:val="17"/>
                <w:szCs w:val="17"/>
              </w:rPr>
              <w:t xml:space="preserve">La signature est liée de façon univoque au signataire et à l'enregistrement signé, et son intention est explicite.</w:t>
            </w:r>
          </w:p>
        </w:tc>
        <w:tc>
          <w:tcPr>
            <w:tcW w:type="pct" w:w="34%"/>
            <w:tcMar>
              <w:top w:type="dxa" w:w="80"/>
              <w:left w:type="dxa" w:w="110"/>
              <w:bottom w:type="dxa" w:w="80"/>
              <w:right w:type="dxa" w:w="110"/>
            </w:tcMar>
          </w:tcPr>
          <w:p>
            <w:pPr>
              <w:spacing w:after="0"/>
            </w:pPr>
            <w:r>
              <w:rPr>
                <w:sz w:val="17"/>
                <w:szCs w:val="17"/>
              </w:rPr>
              <w:t xml:space="preserve">Deux composants exigés à chaque apposition : la session authentifiée et le mot de passe ressaisi. La signature recopie l'empreinte du contenu gelé qu'elle atteste, porte le nom imprimé, la signification et l'horodatage, et survit à l'ouverture des révisions suivantes. Aucune fonction ne permet de poser le mot de passe d'un autre.</w:t>
            </w:r>
          </w:p>
        </w:tc>
        <w:tc>
          <w:tcPr>
            <w:tcW w:type="pct" w:w="25%"/>
            <w:tcMar>
              <w:top w:type="dxa" w:w="80"/>
              <w:left w:type="dxa" w:w="110"/>
              <w:bottom w:type="dxa" w:w="80"/>
              <w:right w:type="dxa" w:w="110"/>
            </w:tcMar>
          </w:tcPr>
          <w:p>
            <w:pPr>
              <w:spacing w:after="0"/>
            </w:pPr>
            <w:r>
              <w:rPr>
                <w:sz w:val="17"/>
                <w:szCs w:val="17"/>
              </w:rPr>
              <w:t xml:space="preserve">La déclaration de l'équivalence signature électronique / signature manuscrite auprès de l'autorité, lorsqu'elle est requise.</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Sauvegarde et restauration</w:t>
            </w:r>
          </w:p>
          <w:p>
            <w:pPr>
              <w:spacing w:after="0"/>
            </w:pPr>
            <w:r>
              <w:rPr>
                <w:b/>
                <w:bCs/>
                <w:color w:val="92400E"/>
                <w:sz w:val="15"/>
                <w:szCs w:val="15"/>
              </w:rPr>
              <w:t xml:space="preserve">Partiel</w:t>
            </w:r>
          </w:p>
        </w:tc>
        <w:tc>
          <w:tcPr>
            <w:tcW w:type="pct" w:w="25%"/>
            <w:tcMar>
              <w:top w:type="dxa" w:w="80"/>
              <w:left w:type="dxa" w:w="110"/>
              <w:bottom w:type="dxa" w:w="80"/>
              <w:right w:type="dxa" w:w="110"/>
            </w:tcMar>
          </w:tcPr>
          <w:p>
            <w:pPr>
              <w:spacing w:after="0"/>
            </w:pPr>
            <w:r>
              <w:rPr>
                <w:sz w:val="17"/>
                <w:szCs w:val="17"/>
              </w:rPr>
              <w:t xml:space="preserve">Les sauvegardes sont régulières, leur intégrité est vérifiée, et la restauration est ÉPROUVÉE — pas seulement décrite.</w:t>
            </w:r>
          </w:p>
        </w:tc>
        <w:tc>
          <w:tcPr>
            <w:tcW w:type="pct" w:w="34%"/>
            <w:tcMar>
              <w:top w:type="dxa" w:w="80"/>
              <w:left w:type="dxa" w:w="110"/>
              <w:bottom w:type="dxa" w:w="80"/>
              <w:right w:type="dxa" w:w="110"/>
            </w:tcMar>
          </w:tcPr>
          <w:p>
            <w:pPr>
              <w:spacing w:after="0"/>
            </w:pPr>
            <w:r>
              <w:rPr>
                <w:sz w:val="17"/>
                <w:szCs w:val="17"/>
              </w:rPr>
              <w:t xml:space="preserve">Le guide d'installation décrit la sauvegarde à froid des deux volumes avec ses contrôles, et une sauvegarde est prise automatiquement avant toute migration de schéma. L'éditeur a déroulé la procédure et la restauration sur une installation réelle, dans un environnement distinct.</w:t>
            </w:r>
          </w:p>
        </w:tc>
        <w:tc>
          <w:tcPr>
            <w:tcW w:type="pct" w:w="25%"/>
            <w:tcMar>
              <w:top w:type="dxa" w:w="80"/>
              <w:left w:type="dxa" w:w="110"/>
              <w:bottom w:type="dxa" w:w="80"/>
              <w:right w:type="dxa" w:w="110"/>
            </w:tcMar>
          </w:tcPr>
          <w:p>
            <w:pPr>
              <w:spacing w:after="0"/>
            </w:pPr>
            <w:r>
              <w:rPr>
                <w:sz w:val="17"/>
                <w:szCs w:val="17"/>
              </w:rPr>
              <w:t xml:space="preserve">L'exécution des sauvegardes chez vous, leur planification, la surveillance de leur issue, et la restauration éprouvée sur votre infrastructure.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Archivage</w:t>
            </w:r>
          </w:p>
          <w:p>
            <w:pPr>
              <w:spacing w:after="0"/>
            </w:pPr>
            <w:r>
              <w:rPr>
                <w:b/>
                <w:bCs/>
                <w:color w:val="166534"/>
                <w:sz w:val="15"/>
                <w:szCs w:val="15"/>
              </w:rPr>
              <w:t xml:space="preserve">Assuré par le logiciel</w:t>
            </w:r>
          </w:p>
        </w:tc>
        <w:tc>
          <w:tcPr>
            <w:tcW w:type="pct" w:w="25%"/>
            <w:tcMar>
              <w:top w:type="dxa" w:w="80"/>
              <w:left w:type="dxa" w:w="110"/>
              <w:bottom w:type="dxa" w:w="80"/>
              <w:right w:type="dxa" w:w="110"/>
            </w:tcMar>
          </w:tcPr>
          <w:p>
            <w:pPr>
              <w:spacing w:after="0"/>
            </w:pPr>
            <w:r>
              <w:rPr>
                <w:sz w:val="17"/>
                <w:szCs w:val="17"/>
              </w:rPr>
              <w:t xml:space="preserve">Les enregistrements restent lisibles et vérifiables pendant toute la durée de conservation, y compris après retrait du système.</w:t>
            </w:r>
          </w:p>
        </w:tc>
        <w:tc>
          <w:tcPr>
            <w:tcW w:type="pct" w:w="34%"/>
            <w:tcMar>
              <w:top w:type="dxa" w:w="80"/>
              <w:left w:type="dxa" w:w="110"/>
              <w:bottom w:type="dxa" w:w="80"/>
              <w:right w:type="dxa" w:w="110"/>
            </w:tcMar>
          </w:tcPr>
          <w:p>
            <w:pPr>
              <w:spacing w:after="0"/>
            </w:pPr>
            <w:r>
              <w:rPr>
                <w:sz w:val="17"/>
                <w:szCs w:val="17"/>
              </w:rPr>
              <w:t xml:space="preserve">L'archive d'inspection restitue les octets exacts des enregistrements gelés, accompagnés d'un manifeste et d'empreintes vérifiables avec un outil standard, sans Filum. Un enregistrement altéré sur disque y est signalé plutôt que présenté comme intact. L'ancre de l'archive peut être horodatée par une autorité tierce (RFC 3161).</w:t>
            </w:r>
          </w:p>
        </w:tc>
        <w:tc>
          <w:tcPr>
            <w:tcW w:type="pct" w:w="25%"/>
            <w:tcMar>
              <w:top w:type="dxa" w:w="80"/>
              <w:left w:type="dxa" w:w="110"/>
              <w:bottom w:type="dxa" w:w="80"/>
              <w:right w:type="dxa" w:w="110"/>
            </w:tcMar>
          </w:tcPr>
          <w:p>
            <w:pPr>
              <w:spacing w:after="0"/>
            </w:pPr>
            <w:r>
              <w:rPr>
                <w:sz w:val="17"/>
                <w:szCs w:val="17"/>
              </w:rPr>
              <w:t xml:space="preserve">La durée de conservation applicable, sa déclaration, et le stockage de l'archive.</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Sécurité</w:t>
            </w:r>
          </w:p>
          <w:p>
            <w:pPr>
              <w:spacing w:after="0"/>
            </w:pPr>
            <w:r>
              <w:rPr>
                <w:b/>
                <w:bCs/>
                <w:color w:val="92400E"/>
                <w:sz w:val="15"/>
                <w:szCs w:val="15"/>
              </w:rPr>
              <w:t xml:space="preserve">Partiel</w:t>
            </w:r>
          </w:p>
        </w:tc>
        <w:tc>
          <w:tcPr>
            <w:tcW w:type="pct" w:w="25%"/>
            <w:tcMar>
              <w:top w:type="dxa" w:w="80"/>
              <w:left w:type="dxa" w:w="110"/>
              <w:bottom w:type="dxa" w:w="80"/>
              <w:right w:type="dxa" w:w="110"/>
            </w:tcMar>
          </w:tcPr>
          <w:p>
            <w:pPr>
              <w:spacing w:after="0"/>
            </w:pPr>
            <w:r>
              <w:rPr>
                <w:sz w:val="17"/>
                <w:szCs w:val="17"/>
              </w:rPr>
              <w:t xml:space="preserve">Le projet consacre une vingtaine de sous-sections à la sécurité : correctifs, tests d'intrusion, pare-feu, maîtrise des supports amovibles.</w:t>
            </w:r>
          </w:p>
        </w:tc>
        <w:tc>
          <w:tcPr>
            <w:tcW w:type="pct" w:w="34%"/>
            <w:tcMar>
              <w:top w:type="dxa" w:w="80"/>
              <w:left w:type="dxa" w:w="110"/>
              <w:bottom w:type="dxa" w:w="80"/>
              <w:right w:type="dxa" w:w="110"/>
            </w:tcMar>
          </w:tcPr>
          <w:p>
            <w:pPr>
              <w:spacing w:after="0"/>
            </w:pPr>
            <w:r>
              <w:rPr>
                <w:sz w:val="17"/>
                <w:szCs w:val="17"/>
              </w:rPr>
              <w:t xml:space="preserve">Contrôles applicatifs : mot de passe jamais conservé en clair, verrouillage après échecs répétés, session bornée, cookie marqué « secure » derrière TLS, en-têtes de sécurité HTTP, aucune donnée servie sans session valide. Aucun test d'intrusion par un tiers indépendant n'a été conduit — cette limite est déclarée dans le dossier de validation.</w:t>
            </w:r>
          </w:p>
        </w:tc>
        <w:tc>
          <w:tcPr>
            <w:tcW w:type="pct" w:w="25%"/>
            <w:tcMar>
              <w:top w:type="dxa" w:w="80"/>
              <w:left w:type="dxa" w:w="110"/>
              <w:bottom w:type="dxa" w:w="80"/>
              <w:right w:type="dxa" w:w="110"/>
            </w:tcMar>
          </w:tcPr>
          <w:p>
            <w:pPr>
              <w:spacing w:after="0"/>
            </w:pPr>
            <w:r>
              <w:rPr>
                <w:sz w:val="17"/>
                <w:szCs w:val="17"/>
              </w:rPr>
              <w:t xml:space="preserve">L'infrastructure : terminaison TLS, pare-feu, correctifs du système hôte, restriction d'accès aux volumes de données, maîtrise des supports amovibles.</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Gestion des changements et des configurations</w:t>
            </w:r>
          </w:p>
          <w:p>
            <w:pPr>
              <w:spacing w:after="0"/>
            </w:pPr>
            <w:r>
              <w:rPr>
                <w:b/>
                <w:bCs/>
                <w:color w:val="92400E"/>
                <w:sz w:val="15"/>
                <w:szCs w:val="15"/>
              </w:rPr>
              <w:t xml:space="preserve">Partiel</w:t>
            </w:r>
          </w:p>
        </w:tc>
        <w:tc>
          <w:tcPr>
            <w:tcW w:type="pct" w:w="25%"/>
            <w:tcMar>
              <w:top w:type="dxa" w:w="80"/>
              <w:left w:type="dxa" w:w="110"/>
              <w:bottom w:type="dxa" w:w="80"/>
              <w:right w:type="dxa" w:w="110"/>
            </w:tcMar>
          </w:tcPr>
          <w:p>
            <w:pPr>
              <w:spacing w:after="0"/>
            </w:pPr>
            <w:r>
              <w:rPr>
                <w:sz w:val="17"/>
                <w:szCs w:val="17"/>
              </w:rPr>
              <w:t xml:space="preserve">Les modifications sont maîtrisées, évaluées et tracées, et la configuration du système est connue à tout instant.</w:t>
            </w:r>
          </w:p>
        </w:tc>
        <w:tc>
          <w:tcPr>
            <w:tcW w:type="pct" w:w="34%"/>
            <w:tcMar>
              <w:top w:type="dxa" w:w="80"/>
              <w:left w:type="dxa" w:w="110"/>
              <w:bottom w:type="dxa" w:w="80"/>
              <w:right w:type="dxa" w:w="110"/>
            </w:tcMar>
          </w:tcPr>
          <w:p>
            <w:pPr>
              <w:spacing w:after="0"/>
            </w:pPr>
            <w:r>
              <w:rPr>
                <w:sz w:val="17"/>
                <w:szCs w:val="17"/>
              </w:rPr>
              <w:t xml:space="preserve">Chaque livraison porte un numéro de version, une archive d'image et deux empreintes publiées ; un contrôle refuse de republier un numéro déjà remis. La version annoncée par le conteneur et celle affichée par l'interface sont issues d'une source unique et vérifiées à chaque construction.</w:t>
            </w:r>
          </w:p>
        </w:tc>
        <w:tc>
          <w:tcPr>
            <w:tcW w:type="pct" w:w="25%"/>
            <w:tcMar>
              <w:top w:type="dxa" w:w="80"/>
              <w:left w:type="dxa" w:w="110"/>
              <w:bottom w:type="dxa" w:w="80"/>
              <w:right w:type="dxa" w:w="110"/>
            </w:tcMar>
          </w:tcPr>
          <w:p>
            <w:pPr>
              <w:spacing w:after="0"/>
            </w:pPr>
            <w:r>
              <w:rPr>
                <w:sz w:val="17"/>
                <w:szCs w:val="17"/>
              </w:rPr>
              <w:t xml:space="preserve">L'évaluation d'impact de chaque montée de version dans votre système qualité, et la revalidation associée.</w:t>
            </w:r>
          </w:p>
        </w:tc>
      </w:tr>
      <w:tr>
        <w:tc>
          <w:tcPr>
            <w:tcW w:type="pct" w:w="16%"/>
            <w:shd w:fill="DBEAFE"/>
            <w:tcMar>
              <w:top w:type="dxa" w:w="80"/>
              <w:left w:type="dxa" w:w="110"/>
              <w:bottom w:type="dxa" w:w="80"/>
              <w:right w:type="dxa" w:w="110"/>
            </w:tcMar>
          </w:tcPr>
          <w:p>
            <w:pPr>
              <w:spacing w:after="60"/>
            </w:pPr>
            <w:r>
              <w:rPr>
                <w:b/>
                <w:bCs/>
                <w:color w:val="4338CA"/>
                <w:sz w:val="17"/>
                <w:szCs w:val="17"/>
              </w:rPr>
              <w:t xml:space="preserve">Continuité d'activité</w:t>
            </w:r>
          </w:p>
          <w:p>
            <w:pPr>
              <w:spacing w:after="0"/>
            </w:pPr>
            <w:r>
              <w:rPr>
                <w:b/>
                <w:bCs/>
                <w:color w:val="1E40AF"/>
                <w:sz w:val="15"/>
                <w:szCs w:val="15"/>
              </w:rPr>
              <w:t xml:space="preserve">Votre organisation</w:t>
            </w:r>
          </w:p>
        </w:tc>
        <w:tc>
          <w:tcPr>
            <w:tcW w:type="pct" w:w="25%"/>
            <w:tcMar>
              <w:top w:type="dxa" w:w="80"/>
              <w:left w:type="dxa" w:w="110"/>
              <w:bottom w:type="dxa" w:w="80"/>
              <w:right w:type="dxa" w:w="110"/>
            </w:tcMar>
          </w:tcPr>
          <w:p>
            <w:pPr>
              <w:spacing w:after="0"/>
            </w:pPr>
            <w:r>
              <w:rPr>
                <w:sz w:val="17"/>
                <w:szCs w:val="17"/>
              </w:rPr>
              <w:t xml:space="preserve">Une défaillance du système ne doit pas interrompre les opérations critiques ni faire perdre de données.</w:t>
            </w:r>
          </w:p>
        </w:tc>
        <w:tc>
          <w:tcPr>
            <w:tcW w:type="pct" w:w="34%"/>
            <w:tcMar>
              <w:top w:type="dxa" w:w="80"/>
              <w:left w:type="dxa" w:w="110"/>
              <w:bottom w:type="dxa" w:w="80"/>
              <w:right w:type="dxa" w:w="110"/>
            </w:tcMar>
          </w:tcPr>
          <w:p>
            <w:pPr>
              <w:spacing w:after="0"/>
            </w:pPr>
            <w:r>
              <w:rPr>
                <w:sz w:val="17"/>
                <w:szCs w:val="17"/>
              </w:rPr>
              <w:t xml:space="preserve">Installation autonome sur site : aucune dépendance à un service en ligne pour fonctionner. Les données vivent dans deux volumes que vous maîtrisez, et l'archive d'inspection reste lisible sans le logiciel.</w:t>
            </w:r>
          </w:p>
        </w:tc>
        <w:tc>
          <w:tcPr>
            <w:tcW w:type="pct" w:w="25%"/>
            <w:tcMar>
              <w:top w:type="dxa" w:w="80"/>
              <w:left w:type="dxa" w:w="110"/>
              <w:bottom w:type="dxa" w:w="80"/>
              <w:right w:type="dxa" w:w="110"/>
            </w:tcMar>
          </w:tcPr>
          <w:p>
            <w:pPr>
              <w:spacing w:after="0"/>
            </w:pPr>
            <w:r>
              <w:rPr>
                <w:sz w:val="17"/>
                <w:szCs w:val="17"/>
              </w:rPr>
              <w:t xml:space="preserve">Le plan de continuité, les moyens de repli, et les procédures de secours en cas d'indisponibilité prolongée.</w:t>
            </w:r>
          </w:p>
        </w:tc>
      </w:tr>
      <w:tr>
        <w:tc>
          <w:tcPr>
            <w:tcW w:type="pct" w:w="16%"/>
            <w:shd w:fill="F1F5F9"/>
            <w:tcMar>
              <w:top w:type="dxa" w:w="80"/>
              <w:left w:type="dxa" w:w="110"/>
              <w:bottom w:type="dxa" w:w="80"/>
              <w:right w:type="dxa" w:w="110"/>
            </w:tcMar>
          </w:tcPr>
          <w:p>
            <w:pPr>
              <w:spacing w:after="60"/>
            </w:pPr>
            <w:r>
              <w:rPr>
                <w:b/>
                <w:bCs/>
                <w:color w:val="4338CA"/>
                <w:sz w:val="17"/>
                <w:szCs w:val="17"/>
              </w:rPr>
              <w:t xml:space="preserve">Alarmes du système</w:t>
            </w:r>
          </w:p>
          <w:p>
            <w:pPr>
              <w:spacing w:after="0"/>
            </w:pPr>
            <w:r>
              <w:rPr>
                <w:b/>
                <w:bCs/>
                <w:color w:val="475569"/>
                <w:sz w:val="15"/>
                <w:szCs w:val="15"/>
              </w:rPr>
              <w:t xml:space="preserve">Hors périmètre</w:t>
            </w:r>
          </w:p>
        </w:tc>
        <w:tc>
          <w:tcPr>
            <w:tcW w:type="pct" w:w="25%"/>
            <w:tcMar>
              <w:top w:type="dxa" w:w="80"/>
              <w:left w:type="dxa" w:w="110"/>
              <w:bottom w:type="dxa" w:w="80"/>
              <w:right w:type="dxa" w:w="110"/>
            </w:tcMar>
          </w:tcPr>
          <w:p>
            <w:pPr>
              <w:spacing w:after="0"/>
            </w:pPr>
            <w:r>
              <w:rPr>
                <w:sz w:val="17"/>
                <w:szCs w:val="17"/>
              </w:rPr>
              <w:t xml:space="preserve">Les alarmes critiques sont définies, hiérarchisées, acquittées et tracées — chapitre nouveau du projet.</w:t>
            </w:r>
          </w:p>
        </w:tc>
        <w:tc>
          <w:tcPr>
            <w:tcW w:type="pct" w:w="34%"/>
            <w:tcMar>
              <w:top w:type="dxa" w:w="80"/>
              <w:left w:type="dxa" w:w="110"/>
              <w:bottom w:type="dxa" w:w="80"/>
              <w:right w:type="dxa" w:w="110"/>
            </w:tcMar>
          </w:tcPr>
          <w:p>
            <w:pPr>
              <w:spacing w:after="0"/>
            </w:pPr>
            <w:r>
              <w:rPr>
                <w:sz w:val="17"/>
                <w:szCs w:val="17"/>
              </w:rPr>
              <w:t xml:space="preserve">Sans objet en l'état : Filum ne pilote aucun équipement et ne surveille aucun paramètre de procédé. Il signale en revanche une rupture de la chaîne de piste d'audit au démarrage et dans l'écran de vérification.</w:t>
            </w:r>
          </w:p>
        </w:tc>
        <w:tc>
          <w:tcPr>
            <w:tcW w:type="pct" w:w="25%"/>
            <w:tcMar>
              <w:top w:type="dxa" w:w="80"/>
              <w:left w:type="dxa" w:w="110"/>
              <w:bottom w:type="dxa" w:w="80"/>
              <w:right w:type="dxa" w:w="110"/>
            </w:tcMar>
          </w:tcPr>
          <w:p>
            <w:pPr>
              <w:spacing w:after="0"/>
            </w:pPr>
            <w:r>
              <w:rPr>
                <w:sz w:val="17"/>
                <w:szCs w:val="17"/>
              </w:rPr>
              <w:t xml:space="preserv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Interfaces et échanges de données</w:t>
            </w:r>
          </w:p>
          <w:p>
            <w:pPr>
              <w:spacing w:after="0"/>
            </w:pPr>
            <w:r>
              <w:rPr>
                <w:b/>
                <w:bCs/>
                <w:color w:val="166534"/>
                <w:sz w:val="15"/>
                <w:szCs w:val="15"/>
              </w:rPr>
              <w:t xml:space="preserve">Assuré par le logiciel</w:t>
            </w:r>
          </w:p>
        </w:tc>
        <w:tc>
          <w:tcPr>
            <w:tcW w:type="pct" w:w="25%"/>
            <w:tcMar>
              <w:top w:type="dxa" w:w="80"/>
              <w:left w:type="dxa" w:w="110"/>
              <w:bottom w:type="dxa" w:w="80"/>
              <w:right w:type="dxa" w:w="110"/>
            </w:tcMar>
          </w:tcPr>
          <w:p>
            <w:pPr>
              <w:spacing w:after="0"/>
            </w:pPr>
            <w:r>
              <w:rPr>
                <w:sz w:val="17"/>
                <w:szCs w:val="17"/>
              </w:rPr>
              <w:t xml:space="preserve">Les échanges entre systèmes sont vérifiés, et l'intégrité des données transférées est contrôlée.</w:t>
            </w:r>
          </w:p>
        </w:tc>
        <w:tc>
          <w:tcPr>
            <w:tcW w:type="pct" w:w="34%"/>
            <w:tcMar>
              <w:top w:type="dxa" w:w="80"/>
              <w:left w:type="dxa" w:w="110"/>
              <w:bottom w:type="dxa" w:w="80"/>
              <w:right w:type="dxa" w:w="110"/>
            </w:tcMar>
          </w:tcPr>
          <w:p>
            <w:pPr>
              <w:spacing w:after="0"/>
            </w:pPr>
            <w:r>
              <w:rPr>
                <w:sz w:val="17"/>
                <w:szCs w:val="17"/>
              </w:rPr>
              <w:t xml:space="preserve">Filum n'expose aucune interface d'écriture automatisée : le graphe reste la seule porte d'entrée, et toute reprise de données passe par un aperçu relu avant écriture, avec double journalisation.</w:t>
            </w:r>
          </w:p>
        </w:tc>
        <w:tc>
          <w:tcPr>
            <w:tcW w:type="pct" w:w="25%"/>
            <w:tcMar>
              <w:top w:type="dxa" w:w="80"/>
              <w:left w:type="dxa" w:w="110"/>
              <w:bottom w:type="dxa" w:w="80"/>
              <w:right w:type="dxa" w:w="110"/>
            </w:tcMar>
          </w:tcPr>
          <w:p>
            <w:pPr>
              <w:spacing w:after="0"/>
            </w:pPr>
            <w:r>
              <w:rPr>
                <w:sz w:val="17"/>
                <w:szCs w:val="17"/>
              </w:rPr>
              <w:t xml:space="preserve">La vérification de toute intégration que vous mettriez en place autour de Filum.</w:t>
            </w:r>
          </w:p>
        </w:tc>
      </w:tr>
    </w:tbl>
    <w:p>
      <w:pPr>
        <w:pStyle w:val="Heading1"/>
        <w:spacing w:after="140" w:before="320"/>
      </w:pPr>
      <w:r>
        <w:t xml:space="preserve">6. Ce qu'on peut écrire, et ce qu'on ne peut pas</w:t>
      </w:r>
    </w:p>
    <w:p>
      <w:pPr>
        <w:spacing w:after="140"/>
      </w:pPr>
      <w:r>
        <w:rPr>
          <w:sz w:val="20"/>
          <w:szCs w:val="20"/>
        </w:rPr>
        <w:t xml:space="preserve">Si vous devez mentionner l'Annexe 11 à propos de Filum dans votre dossier, la formulation suivante est exacte :</w:t>
      </w:r>
    </w:p>
    <w:p>
      <w:pPr>
        <w:spacing w:after="200"/>
        <w:ind w:left="400" w:right="400"/>
      </w:pPr>
      <w:r>
        <w:rPr>
          <w:i/>
          <w:iCs/>
          <w:sz w:val="17"/>
          <w:szCs w:val="17"/>
        </w:rPr>
        <w:t xml:space="preserve">« L'Annexe 11 des BPF européennes ne s'applique pas de plein droit à cet outil de maîtrise de la conception : l'exigence applicable est l'ISO 13485 §4.1.6, couverte par le dossier de validation de l'éditeur. Notre organisation appliquant par ailleurs les BPF, nous avons établi la correspondance entre les attendus du projet d'Annexe 11 du 7 juillet 2025 et les contrôles du logiciel, sur la base de la note de correspondance fournie par l'éditeur. Cette correspondance sera revue à la publication du texte définitif. »</w:t>
      </w:r>
    </w:p>
    <w:p>
      <w:pPr>
        <w:spacing w:after="200"/>
      </w:pPr>
      <w:r>
        <w:rPr>
          <w:b/>
          <w:bCs/>
          <w:sz w:val="20"/>
          <w:szCs w:val="20"/>
        </w:rPr>
        <w:t xml:space="preserve">En revanche, « Filum est conforme Annexe 11 » serait faux deux fois : sur un texte qui n'est pas encore adopté, et sur un référentiel qui ne vise pas ce produit. Cette mention n'apparaît nulle part dans la documentation Filum, et ne doit pas apparaître dans la vôtre.</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sur </w:t>
    </w:r>
    <w:r>
      <w:rPr>
        <w:color w:val="475569"/>
        <w:sz w:val="15"/>
        <w:szCs w:val="15"/>
      </w:rPr>
      <w:fldChar w:fldCharType="begin"/>
      <w:instrText xml:space="preserve">NUMPAGES</w:instrText>
      <w:fldChar w:fldCharType="separate"/>
      <w:fldChar w:fldCharType="end"/>
    </w:r>
    <w:r>
      <w:rPr>
        <w:color w:val="475569"/>
        <w:sz w:val="15"/>
        <w:szCs w:val="15"/>
      </w:rPr>
      <w:t xml:space="preserve">   ·   Établi sur le projet du 7 juillet 2025. Ce n'est pas une déclaration de conformité.</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Note de correspondance Annexe 11 (projet 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2026-10-01T11:27:10.606Z</dcterms:created>
  <dcterms:modified xsi:type="dcterms:W3CDTF">2026-10-01T11:27:10.607Z</dcterms:modified>
</cp:coreProperties>
</file>

<file path=docProps/custom.xml><?xml version="1.0" encoding="utf-8"?>
<Properties xmlns="http://schemas.openxmlformats.org/officeDocument/2006/custom-properties" xmlns:vt="http://schemas.openxmlformats.org/officeDocument/2006/docPropsVTypes"/>
</file>