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800"/>
        <w:jc w:val="center"/>
      </w:pPr>
      <w:r>
        <w:rPr>
          <w:b/>
          <w:bCs/>
          <w:color w:val="4338CA"/>
          <w:sz w:val="44"/>
          <w:szCs w:val="44"/>
        </w:rPr>
        <w:t xml:space="preserve">Filum</w:t>
      </w:r>
    </w:p>
    <w:p>
      <w:pPr>
        <w:spacing w:after="60"/>
        <w:jc w:val="center"/>
      </w:pPr>
      <w:r>
        <w:rPr>
          <w:b/>
          <w:bCs/>
          <w:sz w:val="34"/>
          <w:szCs w:val="34"/>
        </w:rPr>
        <w:t xml:space="preserve">Intégrité des données</w:t>
      </w:r>
    </w:p>
    <w:p>
      <w:pPr>
        <w:spacing w:after="700"/>
        <w:jc w:val="center"/>
      </w:pPr>
      <w:r>
        <w:rPr>
          <w:color w:val="475569"/>
          <w:sz w:val="22"/>
          <w:szCs w:val="22"/>
        </w:rPr>
        <w:t xml:space="preserve">Un document projeté depuis un graphe peut-il être un enregistrement ?</w:t>
      </w:r>
    </w:p>
    <w:p>
      <w:pPr>
        <w:pStyle w:val="Heading1"/>
        <w:spacing w:after="140" w:before="320"/>
      </w:pPr>
      <w:r>
        <w:t xml:space="preserve">1. L'objection, telle qu'elle se pose</w:t>
      </w:r>
    </w:p>
    <w:p>
      <w:pPr>
        <w:spacing w:after="120"/>
      </w:pPr>
      <w:r>
        <w:rPr>
          <w:sz w:val="20"/>
          <w:szCs w:val="20"/>
        </w:rPr>
        <w:t xml:space="preserve">Filum ne stocke pas de documents. Il stocke un graphe — besoins, exigences, spécifications, protocoles, résultats, preuves, risques — et projette les documents à partir de lui. C'est l'inversion qui fait tout l'intérêt du produit : la donnée n'est saisie qu'une fois, et le dossier de conception ne peut pas contredire les données qui le composent.</w:t>
      </w:r>
    </w:p>
    <w:p>
      <w:pPr>
        <w:spacing w:after="160"/>
      </w:pPr>
      <w:r>
        <w:rPr>
          <w:sz w:val="20"/>
          <w:szCs w:val="20"/>
        </w:rPr>
        <w:t xml:space="preserve">Cette inversion soulève une objection légitime, et c'est la première que pose un responsable qualité : si le document est recalculé à chaque téléchargement, qu'est-ce qui a été approuvé ? Une signature apposée en mars atteste-t-elle encore quelque chose de précis en octobre ?</w:t>
      </w:r>
    </w:p>
    <w:p>
      <w:pPr>
        <w:spacing w:after="160"/>
      </w:pPr>
      <w:r>
        <w:rPr>
          <w:b/>
          <w:bCs/>
          <w:sz w:val="20"/>
          <w:szCs w:val="20"/>
        </w:rPr>
        <w:t xml:space="preserve">La réponse tient en une phrase : depuis la version 1.1, l'instantané figé EST l'enregistrement, et la projection vive n'est qu'une vue de travail. Le reste de ce document explique le mécanisme, cite les textes auxquels il répond, énonce ce qu'il ne couvre pas — et donne, en section 7, le protocole qui permet de le mettre en défaut.</w:t>
      </w:r>
    </w:p>
    <w:p>
      <w:pPr>
        <w:pStyle w:val="Heading1"/>
        <w:spacing w:after="140" w:before="320"/>
      </w:pPr>
      <w:r>
        <w:t xml:space="preserve">2. Deux objets, deux rôles</w:t>
      </w:r>
    </w:p>
    <w:p>
      <w:pPr>
        <w:spacing w:after="120"/>
      </w:pPr>
      <w:r>
        <w:rPr>
          <w:sz w:val="20"/>
          <w:szCs w:val="20"/>
        </w:rPr>
        <w:t xml:space="preserve">La confusion vient de ce qu'on attend d'un seul objet deux services incompatibles : être interrogeable et être immuable. Filum sépare les deux.</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20%"/>
            <w:shd w:fill="E0E7FF"/>
            <w:tcMar>
              <w:top w:type="dxa" w:w="80"/>
              <w:left w:type="dxa" w:w="110"/>
              <w:bottom w:type="dxa" w:w="80"/>
              <w:right w:type="dxa" w:w="110"/>
            </w:tcMar>
          </w:tcPr>
          <w:p>
            <w:pPr>
              <w:spacing w:after="0"/>
            </w:pPr>
            <w:r>
              <w:rPr>
                <w:sz w:val="17"/>
                <w:szCs w:val="17"/>
              </w:rPr>
              <w:t xml:space="preserve"/>
            </w:r>
          </w:p>
        </w:tc>
        <w:tc>
          <w:tcPr>
            <w:tcW w:type="pct" w:w="40%"/>
            <w:shd w:fill="E0E7FF"/>
            <w:tcMar>
              <w:top w:type="dxa" w:w="80"/>
              <w:left w:type="dxa" w:w="110"/>
              <w:bottom w:type="dxa" w:w="80"/>
              <w:right w:type="dxa" w:w="110"/>
            </w:tcMar>
          </w:tcPr>
          <w:p>
            <w:pPr>
              <w:spacing w:after="0"/>
            </w:pPr>
            <w:r>
              <w:rPr>
                <w:b/>
                <w:bCs/>
                <w:sz w:val="17"/>
                <w:szCs w:val="17"/>
              </w:rPr>
              <w:t xml:space="preserve">Le graphe</w:t>
            </w:r>
          </w:p>
        </w:tc>
        <w:tc>
          <w:tcPr>
            <w:tcW w:type="pct" w:w="40%"/>
            <w:shd w:fill="E0E7FF"/>
            <w:tcMar>
              <w:top w:type="dxa" w:w="80"/>
              <w:left w:type="dxa" w:w="110"/>
              <w:bottom w:type="dxa" w:w="80"/>
              <w:right w:type="dxa" w:w="110"/>
            </w:tcMar>
          </w:tcPr>
          <w:p>
            <w:pPr>
              <w:spacing w:after="0"/>
            </w:pPr>
            <w:r>
              <w:rPr>
                <w:b/>
                <w:bCs/>
                <w:sz w:val="17"/>
                <w:szCs w:val="17"/>
              </w:rPr>
              <w:t xml:space="preserve">L'enregistrement figé</w:t>
            </w:r>
          </w:p>
        </w:tc>
      </w:tr>
      <w:tr>
        <w:tc>
          <w:tcPr>
            <w:tcW w:type="pct" w:w="20%"/>
            <w:shd w:fill="F1F5F9"/>
            <w:tcMar>
              <w:top w:type="dxa" w:w="80"/>
              <w:left w:type="dxa" w:w="110"/>
              <w:bottom w:type="dxa" w:w="80"/>
              <w:right w:type="dxa" w:w="110"/>
            </w:tcMar>
          </w:tcPr>
          <w:p>
            <w:pPr>
              <w:spacing w:after="0"/>
            </w:pPr>
            <w:r>
              <w:rPr>
                <w:b/>
                <w:bCs/>
                <w:sz w:val="17"/>
                <w:szCs w:val="17"/>
              </w:rPr>
              <w:t xml:space="preserve">Nature</w:t>
            </w:r>
          </w:p>
        </w:tc>
        <w:tc>
          <w:tcPr>
            <w:tcW w:type="pct" w:w="40%"/>
            <w:tcMar>
              <w:top w:type="dxa" w:w="80"/>
              <w:left w:type="dxa" w:w="110"/>
              <w:bottom w:type="dxa" w:w="80"/>
              <w:right w:type="dxa" w:w="110"/>
            </w:tcMar>
          </w:tcPr>
          <w:p>
            <w:pPr>
              <w:spacing w:after="0"/>
            </w:pPr>
            <w:r>
              <w:rPr>
                <w:sz w:val="17"/>
                <w:szCs w:val="17"/>
              </w:rPr>
              <w:t xml:space="preserve">Donnée de référence, vivante et interrogeable</w:t>
            </w:r>
          </w:p>
        </w:tc>
        <w:tc>
          <w:tcPr>
            <w:tcW w:type="pct" w:w="40%"/>
            <w:tcMar>
              <w:top w:type="dxa" w:w="80"/>
              <w:left w:type="dxa" w:w="110"/>
              <w:bottom w:type="dxa" w:w="80"/>
              <w:right w:type="dxa" w:w="110"/>
            </w:tcMar>
          </w:tcPr>
          <w:p>
            <w:pPr>
              <w:spacing w:after="0"/>
            </w:pPr>
            <w:r>
              <w:rPr>
                <w:sz w:val="17"/>
                <w:szCs w:val="17"/>
              </w:rPr>
              <w:t xml:space="preserve">Fichier .docx conservé octet pour octet, immuable</w:t>
            </w:r>
          </w:p>
        </w:tc>
      </w:tr>
      <w:tr>
        <w:tc>
          <w:tcPr>
            <w:tcW w:type="pct" w:w="20%"/>
            <w:shd w:fill="F1F5F9"/>
            <w:tcMar>
              <w:top w:type="dxa" w:w="80"/>
              <w:left w:type="dxa" w:w="110"/>
              <w:bottom w:type="dxa" w:w="80"/>
              <w:right w:type="dxa" w:w="110"/>
            </w:tcMar>
          </w:tcPr>
          <w:p>
            <w:pPr>
              <w:spacing w:after="0"/>
            </w:pPr>
            <w:r>
              <w:rPr>
                <w:b/>
                <w:bCs/>
                <w:sz w:val="17"/>
                <w:szCs w:val="17"/>
              </w:rPr>
              <w:t xml:space="preserve">Rôle</w:t>
            </w:r>
          </w:p>
        </w:tc>
        <w:tc>
          <w:tcPr>
            <w:tcW w:type="pct" w:w="40%"/>
            <w:tcMar>
              <w:top w:type="dxa" w:w="80"/>
              <w:left w:type="dxa" w:w="110"/>
              <w:bottom w:type="dxa" w:w="80"/>
              <w:right w:type="dxa" w:w="110"/>
            </w:tcMar>
          </w:tcPr>
          <w:p>
            <w:pPr>
              <w:spacing w:after="0"/>
            </w:pPr>
            <w:r>
              <w:rPr>
                <w:sz w:val="17"/>
                <w:szCs w:val="17"/>
              </w:rPr>
              <w:t xml:space="preserve">Analyse d'impact, matrice de traçabilité, couverture de vérification, recherche — tout ce qu'un PDF rend impossible</w:t>
            </w:r>
          </w:p>
        </w:tc>
        <w:tc>
          <w:tcPr>
            <w:tcW w:type="pct" w:w="40%"/>
            <w:tcMar>
              <w:top w:type="dxa" w:w="80"/>
              <w:left w:type="dxa" w:w="110"/>
              <w:bottom w:type="dxa" w:w="80"/>
              <w:right w:type="dxa" w:w="110"/>
            </w:tcMar>
          </w:tcPr>
          <w:p>
            <w:pPr>
              <w:spacing w:after="0"/>
            </w:pPr>
            <w:r>
              <w:rPr>
                <w:sz w:val="17"/>
                <w:szCs w:val="17"/>
              </w:rPr>
              <w:t xml:space="preserve">Copie exacte et complète de ce qui a été approuvé, objet précis auquel chaque signature se rattache</w:t>
            </w:r>
          </w:p>
        </w:tc>
      </w:tr>
      <w:tr>
        <w:tc>
          <w:tcPr>
            <w:tcW w:type="pct" w:w="20%"/>
            <w:shd w:fill="F1F5F9"/>
            <w:tcMar>
              <w:top w:type="dxa" w:w="80"/>
              <w:left w:type="dxa" w:w="110"/>
              <w:bottom w:type="dxa" w:w="80"/>
              <w:right w:type="dxa" w:w="110"/>
            </w:tcMar>
          </w:tcPr>
          <w:p>
            <w:pPr>
              <w:spacing w:after="0"/>
            </w:pPr>
            <w:r>
              <w:rPr>
                <w:b/>
                <w:bCs/>
                <w:sz w:val="17"/>
                <w:szCs w:val="17"/>
              </w:rPr>
              <w:t xml:space="preserve">Évolue</w:t>
            </w:r>
          </w:p>
        </w:tc>
        <w:tc>
          <w:tcPr>
            <w:tcW w:type="pct" w:w="40%"/>
            <w:tcMar>
              <w:top w:type="dxa" w:w="80"/>
              <w:left w:type="dxa" w:w="110"/>
              <w:bottom w:type="dxa" w:w="80"/>
              <w:right w:type="dxa" w:w="110"/>
            </w:tcMar>
          </w:tcPr>
          <w:p>
            <w:pPr>
              <w:spacing w:after="0"/>
            </w:pPr>
            <w:r>
              <w:rPr>
                <w:sz w:val="17"/>
                <w:szCs w:val="17"/>
              </w:rPr>
              <w:t xml:space="preserve">Oui — c'est sa fonction</w:t>
            </w:r>
          </w:p>
        </w:tc>
        <w:tc>
          <w:tcPr>
            <w:tcW w:type="pct" w:w="40%"/>
            <w:tcMar>
              <w:top w:type="dxa" w:w="80"/>
              <w:left w:type="dxa" w:w="110"/>
              <w:bottom w:type="dxa" w:w="80"/>
              <w:right w:type="dxa" w:w="110"/>
            </w:tcMar>
          </w:tcPr>
          <w:p>
            <w:pPr>
              <w:spacing w:after="0"/>
            </w:pPr>
            <w:r>
              <w:rPr>
                <w:sz w:val="17"/>
                <w:szCs w:val="17"/>
              </w:rPr>
              <w:t xml:space="preserve">Jamais. Une reprise du contenu produit un nouvel instantané, elle ne modifie pas l'ancien</w:t>
            </w:r>
          </w:p>
        </w:tc>
      </w:tr>
    </w:tbl>
    <w:p>
      <w:pPr>
        <w:spacing w:after="160"/>
      </w:pPr>
      <w:r>
        <w:rPr>
          <w:sz w:val="20"/>
          <w:szCs w:val="20"/>
        </w:rPr>
        <w:t xml:space="preserve">Conserver les deux n'est pas un compromis : c'est la seule configuration qui satisfasse simultanément les deux exigences réglementaires exposées en section 3, lesquelles tirent en sens opposés.</w:t>
      </w:r>
    </w:p>
    <w:p>
      <w:pPr>
        <w:pStyle w:val="Heading1"/>
        <w:spacing w:after="140" w:before="320"/>
      </w:pPr>
      <w:r>
        <w:t xml:space="preserve">3. Ce que demandent les textes</w:t>
      </w:r>
    </w:p>
    <w:p>
      <w:pPr>
        <w:spacing w:after="120"/>
      </w:pPr>
      <w:r>
        <w:rPr>
          <w:sz w:val="20"/>
          <w:szCs w:val="20"/>
        </w:rPr>
        <w:t xml:space="preserve">Deux doctrines coexistent, et elles ne demandent pas la même chose. C'est précisément pour cela qu'un système qui ne conserverait que l'une des deux formes serait critiquable, quelle que soit celle qu'il choisit.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22%"/>
            <w:shd w:fill="E0E7FF"/>
            <w:tcMar>
              <w:top w:type="dxa" w:w="80"/>
              <w:left w:type="dxa" w:w="110"/>
              <w:bottom w:type="dxa" w:w="80"/>
              <w:right w:type="dxa" w:w="110"/>
            </w:tcMar>
          </w:tcPr>
          <w:p>
            <w:pPr>
              <w:spacing w:after="0"/>
            </w:pPr>
            <w:r>
              <w:rPr>
                <w:b/>
                <w:bCs/>
                <w:sz w:val="17"/>
                <w:szCs w:val="17"/>
              </w:rPr>
              <w:t xml:space="preserve">Texte</w:t>
            </w:r>
          </w:p>
        </w:tc>
        <w:tc>
          <w:tcPr>
            <w:tcW w:type="pct" w:w="45%"/>
            <w:shd w:fill="E0E7FF"/>
            <w:tcMar>
              <w:top w:type="dxa" w:w="80"/>
              <w:left w:type="dxa" w:w="110"/>
              <w:bottom w:type="dxa" w:w="80"/>
              <w:right w:type="dxa" w:w="110"/>
            </w:tcMar>
          </w:tcPr>
          <w:p>
            <w:pPr>
              <w:spacing w:after="0"/>
            </w:pPr>
            <w:r>
              <w:rPr>
                <w:b/>
                <w:bCs/>
                <w:sz w:val="17"/>
                <w:szCs w:val="17"/>
              </w:rPr>
              <w:t xml:space="preserve">Ce qu'il demande</w:t>
            </w:r>
          </w:p>
        </w:tc>
        <w:tc>
          <w:tcPr>
            <w:tcW w:type="pct" w:w="33%"/>
            <w:shd w:fill="E0E7FF"/>
            <w:tcMar>
              <w:top w:type="dxa" w:w="80"/>
              <w:left w:type="dxa" w:w="110"/>
              <w:bottom w:type="dxa" w:w="80"/>
              <w:right w:type="dxa" w:w="110"/>
            </w:tcMar>
          </w:tcPr>
          <w:p>
            <w:pPr>
              <w:spacing w:after="0"/>
            </w:pPr>
            <w:r>
              <w:rPr>
                <w:b/>
                <w:bCs/>
                <w:sz w:val="17"/>
                <w:szCs w:val="17"/>
              </w:rPr>
              <w:t xml:space="preserve">Ce que Filum en fait</w:t>
            </w:r>
          </w:p>
        </w:tc>
      </w:tr>
      <w:tr>
        <w:tc>
          <w:tcPr>
            <w:tcW w:type="pct" w:w="22%"/>
            <w:tcMar>
              <w:top w:type="dxa" w:w="80"/>
              <w:left w:type="dxa" w:w="110"/>
              <w:bottom w:type="dxa" w:w="80"/>
              <w:right w:type="dxa" w:w="110"/>
            </w:tcMar>
          </w:tcPr>
          <w:p>
            <w:pPr>
              <w:spacing w:after="0"/>
            </w:pPr>
            <w:r>
              <w:rPr>
                <w:b/>
                <w:bCs/>
                <w:color w:val="4338CA"/>
                <w:sz w:val="17"/>
                <w:szCs w:val="17"/>
              </w:rPr>
              <w:t xml:space="preserve">21 CFR 11.10(b)</w:t>
            </w:r>
          </w:p>
        </w:tc>
        <w:tc>
          <w:tcPr>
            <w:tcW w:type="pct" w:w="45%"/>
            <w:tcMar>
              <w:top w:type="dxa" w:w="80"/>
              <w:left w:type="dxa" w:w="110"/>
              <w:bottom w:type="dxa" w:w="80"/>
              <w:right w:type="dxa" w:w="110"/>
            </w:tcMar>
          </w:tcPr>
          <w:p>
            <w:pPr>
              <w:spacing w:after="0"/>
            </w:pPr>
            <w:r>
              <w:rPr>
                <w:sz w:val="17"/>
                <w:szCs w:val="17"/>
              </w:rPr>
              <w:t xml:space="preserve">Pouvoir produire des copies « exactes et complètes » des enregistrements, sous forme lisible et sous forme électronique, exploitables pour inspection et copie par l'agence.</w:t>
            </w:r>
          </w:p>
        </w:tc>
        <w:tc>
          <w:tcPr>
            <w:tcW w:type="pct" w:w="33%"/>
            <w:tcMar>
              <w:top w:type="dxa" w:w="80"/>
              <w:left w:type="dxa" w:w="110"/>
              <w:bottom w:type="dxa" w:w="80"/>
              <w:right w:type="dxa" w:w="110"/>
            </w:tcMar>
          </w:tcPr>
          <w:p>
            <w:pPr>
              <w:spacing w:after="0"/>
            </w:pPr>
            <w:r>
              <w:rPr>
                <w:sz w:val="17"/>
                <w:szCs w:val="17"/>
              </w:rPr>
              <w:t xml:space="preserve">Les octets approuvés sont conservés et servis tels quels. La copie n'est pas reconstruite : elle est relue.</w:t>
            </w:r>
          </w:p>
        </w:tc>
      </w:tr>
      <w:tr>
        <w:tc>
          <w:tcPr>
            <w:tcW w:type="pct" w:w="22%"/>
            <w:tcMar>
              <w:top w:type="dxa" w:w="80"/>
              <w:left w:type="dxa" w:w="110"/>
              <w:bottom w:type="dxa" w:w="80"/>
              <w:right w:type="dxa" w:w="110"/>
            </w:tcMar>
          </w:tcPr>
          <w:p>
            <w:pPr>
              <w:spacing w:after="0"/>
            </w:pPr>
            <w:r>
              <w:rPr>
                <w:b/>
                <w:bCs/>
                <w:color w:val="4338CA"/>
                <w:sz w:val="17"/>
                <w:szCs w:val="17"/>
              </w:rPr>
              <w:t xml:space="preserve">21 CFR 11.70</w:t>
            </w:r>
          </w:p>
        </w:tc>
        <w:tc>
          <w:tcPr>
            <w:tcW w:type="pct" w:w="45%"/>
            <w:tcMar>
              <w:top w:type="dxa" w:w="80"/>
              <w:left w:type="dxa" w:w="110"/>
              <w:bottom w:type="dxa" w:w="80"/>
              <w:right w:type="dxa" w:w="110"/>
            </w:tcMar>
          </w:tcPr>
          <w:p>
            <w:pPr>
              <w:spacing w:after="0"/>
            </w:pPr>
            <w:r>
              <w:rPr>
                <w:sz w:val="17"/>
                <w:szCs w:val="17"/>
              </w:rPr>
              <w:t xml:space="preserve">Lier les signatures à leur enregistrement de manière qu'elles ne puissent être ni excisées, ni copiées, ni transférées pour falsifier un enregistrement par des moyens ordinaires.</w:t>
            </w:r>
          </w:p>
        </w:tc>
        <w:tc>
          <w:tcPr>
            <w:tcW w:type="pct" w:w="33%"/>
            <w:tcMar>
              <w:top w:type="dxa" w:w="80"/>
              <w:left w:type="dxa" w:w="110"/>
              <w:bottom w:type="dxa" w:w="80"/>
              <w:right w:type="dxa" w:w="110"/>
            </w:tcMar>
          </w:tcPr>
          <w:p>
            <w:pPr>
              <w:spacing w:after="0"/>
            </w:pPr>
            <w:r>
              <w:rPr>
                <w:sz w:val="17"/>
                <w:szCs w:val="17"/>
              </w:rPr>
              <w:t xml:space="preserve">Chaque signature porte l'empreinte SHA-256 du contenu qu'elle atteste. Transposée sur un autre contenu, elle devient visiblement incohérente.</w:t>
            </w:r>
          </w:p>
        </w:tc>
      </w:tr>
      <w:tr>
        <w:tc>
          <w:tcPr>
            <w:tcW w:type="pct" w:w="22%"/>
            <w:tcMar>
              <w:top w:type="dxa" w:w="80"/>
              <w:left w:type="dxa" w:w="110"/>
              <w:bottom w:type="dxa" w:w="80"/>
              <w:right w:type="dxa" w:w="110"/>
            </w:tcMar>
          </w:tcPr>
          <w:p>
            <w:pPr>
              <w:spacing w:after="0"/>
            </w:pPr>
            <w:r>
              <w:rPr>
                <w:b/>
                <w:bCs/>
                <w:color w:val="4338CA"/>
                <w:sz w:val="17"/>
                <w:szCs w:val="17"/>
              </w:rPr>
              <w:t xml:space="preserve">MHRA, guide « GXP » sur l'intégrité des données (2018)</w:t>
            </w:r>
          </w:p>
        </w:tc>
        <w:tc>
          <w:tcPr>
            <w:tcW w:type="pct" w:w="45%"/>
            <w:tcMar>
              <w:top w:type="dxa" w:w="80"/>
              <w:left w:type="dxa" w:w="110"/>
              <w:bottom w:type="dxa" w:w="80"/>
              <w:right w:type="dxa" w:w="110"/>
            </w:tcMar>
          </w:tcPr>
          <w:p>
            <w:pPr>
              <w:spacing w:after="0"/>
            </w:pPr>
            <w:r>
              <w:rPr>
                <w:sz w:val="17"/>
                <w:szCs w:val="17"/>
              </w:rPr>
              <w:t xml:space="preserve">Distingue les enregistrements statiques (figés, tels qu'un papier ou un PDF) des enregistrements dynamiques, avec lesquels le relecteur peut interagir. Pose que la donnée doit être conservée sous forme dynamique lorsque c'est critique pour son intégrité ou sa vérification ultérieure, et qu'il n'est pas acceptable de conserver le statique de préférence au dynamique.</w:t>
            </w:r>
          </w:p>
        </w:tc>
        <w:tc>
          <w:tcPr>
            <w:tcW w:type="pct" w:w="33%"/>
            <w:tcMar>
              <w:top w:type="dxa" w:w="80"/>
              <w:left w:type="dxa" w:w="110"/>
              <w:bottom w:type="dxa" w:w="80"/>
              <w:right w:type="dxa" w:w="110"/>
            </w:tcMar>
          </w:tcPr>
          <w:p>
            <w:pPr>
              <w:spacing w:after="0"/>
            </w:pPr>
            <w:r>
              <w:rPr>
                <w:sz w:val="17"/>
                <w:szCs w:val="17"/>
              </w:rPr>
              <w:t xml:space="preserve">Le graphe reste interrogeable après publication. C'est la doctrine qui joue EN FAVEUR du modèle de Filum, et contre les systèmes qui n'archivent qu'un PDF.</w:t>
            </w:r>
          </w:p>
        </w:tc>
      </w:tr>
      <w:tr>
        <w:tc>
          <w:tcPr>
            <w:tcW w:type="pct" w:w="22%"/>
            <w:tcMar>
              <w:top w:type="dxa" w:w="80"/>
              <w:left w:type="dxa" w:w="110"/>
              <w:bottom w:type="dxa" w:w="80"/>
              <w:right w:type="dxa" w:w="110"/>
            </w:tcMar>
          </w:tcPr>
          <w:p>
            <w:pPr>
              <w:spacing w:after="0"/>
            </w:pPr>
            <w:r>
              <w:rPr>
                <w:b/>
                <w:bCs/>
                <w:color w:val="4338CA"/>
                <w:sz w:val="17"/>
                <w:szCs w:val="17"/>
              </w:rPr>
              <w:t xml:space="preserve">ALCOA+</w:t>
            </w:r>
          </w:p>
        </w:tc>
        <w:tc>
          <w:tcPr>
            <w:tcW w:type="pct" w:w="45%"/>
            <w:tcMar>
              <w:top w:type="dxa" w:w="80"/>
              <w:left w:type="dxa" w:w="110"/>
              <w:bottom w:type="dxa" w:w="80"/>
              <w:right w:type="dxa" w:w="110"/>
            </w:tcMar>
          </w:tcPr>
          <w:p>
            <w:pPr>
              <w:spacing w:after="0"/>
            </w:pPr>
            <w:r>
              <w:rPr>
                <w:sz w:val="17"/>
                <w:szCs w:val="17"/>
              </w:rPr>
              <w:t xml:space="preserve">Attribuable, lisible, contemporain, original, exact — et complet, cohérent, durable, disponible.</w:t>
            </w:r>
          </w:p>
        </w:tc>
        <w:tc>
          <w:tcPr>
            <w:tcW w:type="pct" w:w="33%"/>
            <w:tcMar>
              <w:top w:type="dxa" w:w="80"/>
              <w:left w:type="dxa" w:w="110"/>
              <w:bottom w:type="dxa" w:w="80"/>
              <w:right w:type="dxa" w:w="110"/>
            </w:tcMar>
          </w:tcPr>
          <w:p>
            <w:pPr>
              <w:spacing w:after="0"/>
            </w:pPr>
            <w:r>
              <w:rPr>
                <w:sz w:val="17"/>
                <w:szCs w:val="17"/>
              </w:rPr>
              <w:t xml:space="preserve">L'instantané couvre « original » et « durable » ; la piste d'audit horodatée et nominative couvre « attribuable » et « contemporain » ; le graphe couvre « disponible ».</w:t>
            </w:r>
          </w:p>
        </w:tc>
      </w:tr>
    </w:tbl>
    <w:p>
      <w:pPr>
        <w:spacing w:after="160"/>
      </w:pPr>
      <w:r>
        <w:rPr>
          <w:i/>
          <w:iCs/>
          <w:color w:val="475569"/>
          <w:sz w:val="17"/>
          <w:szCs w:val="17"/>
        </w:rPr>
        <w:t xml:space="preserve">L'annexe 11 des BPF européennes va dans le même sens sur la restitution imprimable et sur la piste d'audit, mais elle relève des médicaments : elle est citée ici comme doctrine convergente, non comme exigence applicable à un fabricant de dispositifs médicaux.</w:t>
      </w:r>
    </w:p>
    <w:p>
      <w:pPr>
        <w:pStyle w:val="Heading1"/>
        <w:spacing w:after="140" w:before="320"/>
      </w:pPr>
      <w:r>
        <w:t xml:space="preserve">4. Pourquoi conserver les octets plutôt que promettre de les recalculer</w:t>
      </w:r>
    </w:p>
    <w:p>
      <w:pPr>
        <w:spacing w:after="120"/>
      </w:pPr>
      <w:r>
        <w:rPr>
          <w:sz w:val="20"/>
          <w:szCs w:val="20"/>
        </w:rPr>
        <w:t xml:space="preserve">Un éditeur peut être tenté d'affirmer que sa génération est déterministe : « le même contenu produira toujours le même fichier ». Dans le cas d'un .docx, c'est faux, et il est important que vous sachiez pourquoi.</w:t>
      </w:r>
    </w:p>
    <w:p>
      <w:pPr>
        <w:spacing w:after="160"/>
      </w:pPr>
      <w:r>
        <w:rPr>
          <w:sz w:val="20"/>
          <w:szCs w:val="20"/>
        </w:rPr>
        <w:t xml:space="preserve">Un fichier .docx est une archive ZIP. Chaque entrée d'une archive ZIP porte un horodatage de création. Deux générations successives d'un contenu strictement identique produisent donc des fichiers dont les octets diffèrent, et dont les empreintes diffèrent. Toute promesse de « régénération à l'identique » se heurte à cette réalité du format.</w:t>
      </w:r>
    </w:p>
    <w:p>
      <w:pPr>
        <w:spacing w:after="100"/>
      </w:pPr>
      <w:r>
        <w:rPr>
          <w:sz w:val="20"/>
          <w:szCs w:val="20"/>
        </w:rPr>
        <w:t xml:space="preserve">Filum en tire deux conséquences, qui expliquent la présence de deux empreintes dans le produit :</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6%"/>
            <w:shd w:fill="E0E7FF"/>
            <w:tcMar>
              <w:top w:type="dxa" w:w="80"/>
              <w:left w:type="dxa" w:w="110"/>
              <w:bottom w:type="dxa" w:w="80"/>
              <w:right w:type="dxa" w:w="110"/>
            </w:tcMar>
          </w:tcPr>
          <w:p>
            <w:pPr>
              <w:spacing w:after="0"/>
            </w:pPr>
            <w:r>
              <w:rPr>
                <w:b/>
                <w:bCs/>
                <w:sz w:val="17"/>
                <w:szCs w:val="17"/>
              </w:rPr>
              <w:t xml:space="preserve">Empreinte du CONTENU</w:t>
            </w:r>
          </w:p>
        </w:tc>
        <w:tc>
          <w:tcPr>
            <w:tcW w:type="pct" w:w="74%"/>
            <w:tcMar>
              <w:top w:type="dxa" w:w="80"/>
              <w:left w:type="dxa" w:w="110"/>
              <w:bottom w:type="dxa" w:w="80"/>
              <w:right w:type="dxa" w:w="110"/>
            </w:tcMar>
          </w:tcPr>
          <w:p>
            <w:pPr>
              <w:spacing w:after="0"/>
            </w:pPr>
            <w:r>
              <w:rPr>
                <w:sz w:val="17"/>
                <w:szCs w:val="17"/>
              </w:rPr>
              <w:t xml:space="preserve">Calculée sur les valeurs du graphe sérialisées dans un ordre fixe, hors mise en forme et hors état des signatures. Déterministe, donc comparable dans le temps. C'est elle que la signature atteste, et elle qu'on recalcule à la publication pour détecter une dérive.</w:t>
            </w:r>
          </w:p>
        </w:tc>
      </w:tr>
      <w:tr>
        <w:tc>
          <w:tcPr>
            <w:tcW w:type="pct" w:w="26%"/>
            <w:shd w:fill="E0E7FF"/>
            <w:tcMar>
              <w:top w:type="dxa" w:w="80"/>
              <w:left w:type="dxa" w:w="110"/>
              <w:bottom w:type="dxa" w:w="80"/>
              <w:right w:type="dxa" w:w="110"/>
            </w:tcMar>
          </w:tcPr>
          <w:p>
            <w:pPr>
              <w:spacing w:after="0"/>
            </w:pPr>
            <w:r>
              <w:rPr>
                <w:b/>
                <w:bCs/>
                <w:sz w:val="17"/>
                <w:szCs w:val="17"/>
              </w:rPr>
              <w:t xml:space="preserve">Empreinte du FICHIER</w:t>
            </w:r>
          </w:p>
        </w:tc>
        <w:tc>
          <w:tcPr>
            <w:tcW w:type="pct" w:w="74%"/>
            <w:tcMar>
              <w:top w:type="dxa" w:w="80"/>
              <w:left w:type="dxa" w:w="110"/>
              <w:bottom w:type="dxa" w:w="80"/>
              <w:right w:type="dxa" w:w="110"/>
            </w:tcMar>
          </w:tcPr>
          <w:p>
            <w:pPr>
              <w:spacing w:after="0"/>
            </w:pPr>
            <w:r>
              <w:rPr>
                <w:sz w:val="17"/>
                <w:szCs w:val="17"/>
              </w:rPr>
              <w:t xml:space="preserve">Calculée sur les octets écrits sur le disque. Elle ne compare pas deux générations — elle détecte l'altération du fichier conservé, et fait refuser son téléchargement le cas échéant.</w:t>
            </w:r>
          </w:p>
        </w:tc>
      </w:tr>
    </w:tbl>
    <w:p>
      <w:pPr>
        <w:spacing w:after="160"/>
      </w:pPr>
      <w:r>
        <w:rPr>
          <w:b/>
          <w:bCs/>
          <w:sz w:val="20"/>
          <w:szCs w:val="20"/>
        </w:rPr>
        <w:t xml:space="preserve">Autrement dit : la reproductibilité de l'enregistrement ne repose pas sur la capacité du logiciel à le refabriquer, mais sur le fait qu'il ne le refabrique jamais.</w:t>
      </w:r>
    </w:p>
    <w:p>
      <w:pPr>
        <w:pStyle w:val="Heading1"/>
        <w:spacing w:after="140" w:before="320"/>
      </w:pPr>
      <w:r>
        <w:t xml:space="preserve">5. Les mécanismes, un par un</w:t>
      </w:r>
    </w:p>
    <w:p>
      <w:pPr>
        <w:spacing w:after="120"/>
      </w:pPr>
      <w:r>
        <w:rPr>
          <w:sz w:val="20"/>
          <w:szCs w:val="20"/>
        </w:rPr>
        <w:t xml:space="preserve">Chaque ligne indique ce que le mécanisme garantit et comment le constater — en séance de démonstration ou pendant un audit.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22%"/>
            <w:shd w:fill="E0E7FF"/>
            <w:tcMar>
              <w:top w:type="dxa" w:w="80"/>
              <w:left w:type="dxa" w:w="110"/>
              <w:bottom w:type="dxa" w:w="80"/>
              <w:right w:type="dxa" w:w="110"/>
            </w:tcMar>
          </w:tcPr>
          <w:p>
            <w:pPr>
              <w:spacing w:after="0"/>
            </w:pPr>
            <w:r>
              <w:rPr>
                <w:b/>
                <w:bCs/>
                <w:sz w:val="17"/>
                <w:szCs w:val="17"/>
              </w:rPr>
              <w:t xml:space="preserve">Mécanisme</w:t>
            </w:r>
          </w:p>
        </w:tc>
        <w:tc>
          <w:tcPr>
            <w:tcW w:type="pct" w:w="45%"/>
            <w:shd w:fill="E0E7FF"/>
            <w:tcMar>
              <w:top w:type="dxa" w:w="80"/>
              <w:left w:type="dxa" w:w="110"/>
              <w:bottom w:type="dxa" w:w="80"/>
              <w:right w:type="dxa" w:w="110"/>
            </w:tcMar>
          </w:tcPr>
          <w:p>
            <w:pPr>
              <w:spacing w:after="0"/>
            </w:pPr>
            <w:r>
              <w:rPr>
                <w:b/>
                <w:bCs/>
                <w:sz w:val="17"/>
                <w:szCs w:val="17"/>
              </w:rPr>
              <w:t xml:space="preserve">Ce qu'il garantit</w:t>
            </w:r>
          </w:p>
        </w:tc>
        <w:tc>
          <w:tcPr>
            <w:tcW w:type="pct" w:w="33%"/>
            <w:shd w:fill="E0E7FF"/>
            <w:tcMar>
              <w:top w:type="dxa" w:w="80"/>
              <w:left w:type="dxa" w:w="110"/>
              <w:bottom w:type="dxa" w:w="80"/>
              <w:right w:type="dxa" w:w="110"/>
            </w:tcMar>
          </w:tcPr>
          <w:p>
            <w:pPr>
              <w:spacing w:after="0"/>
            </w:pPr>
            <w:r>
              <w:rPr>
                <w:b/>
                <w:bCs/>
                <w:sz w:val="17"/>
                <w:szCs w:val="17"/>
              </w:rPr>
              <w:t xml:space="preserve">Comment le constater</w:t>
            </w:r>
          </w:p>
        </w:tc>
      </w:tr>
      <w:tr>
        <w:tc>
          <w:tcPr>
            <w:tcW w:type="pct" w:w="22%"/>
            <w:tcMar>
              <w:top w:type="dxa" w:w="80"/>
              <w:left w:type="dxa" w:w="110"/>
              <w:bottom w:type="dxa" w:w="80"/>
              <w:right w:type="dxa" w:w="110"/>
            </w:tcMar>
          </w:tcPr>
          <w:p>
            <w:pPr>
              <w:spacing w:after="0"/>
            </w:pPr>
            <w:r>
              <w:rPr>
                <w:b/>
                <w:bCs/>
                <w:color w:val="4338CA"/>
                <w:sz w:val="17"/>
                <w:szCs w:val="17"/>
              </w:rPr>
              <w:t xml:space="preserve">Gel à la mise en revue</w:t>
            </w:r>
          </w:p>
        </w:tc>
        <w:tc>
          <w:tcPr>
            <w:tcW w:type="pct" w:w="45%"/>
            <w:tcMar>
              <w:top w:type="dxa" w:w="80"/>
              <w:left w:type="dxa" w:w="110"/>
              <w:bottom w:type="dxa" w:w="80"/>
              <w:right w:type="dxa" w:w="110"/>
            </w:tcMar>
          </w:tcPr>
          <w:p>
            <w:pPr>
              <w:spacing w:after="0"/>
            </w:pPr>
            <w:r>
              <w:rPr>
                <w:sz w:val="17"/>
                <w:szCs w:val="17"/>
              </w:rPr>
              <w:t xml:space="preserve">Le contenu cesse d'être modifiable au moment où il part en approbation, et non à la publication. Toute tentative de modification d'une exigence, d'une spécification ou d'un protocole rattaché est refusée côté serveur, avec un message qui explique la voie conforme.</w:t>
            </w:r>
          </w:p>
        </w:tc>
        <w:tc>
          <w:tcPr>
            <w:tcW w:type="pct" w:w="33%"/>
            <w:tcMar>
              <w:top w:type="dxa" w:w="80"/>
              <w:left w:type="dxa" w:w="110"/>
              <w:bottom w:type="dxa" w:w="80"/>
              <w:right w:type="dxa" w:w="110"/>
            </w:tcMar>
          </w:tcPr>
          <w:p>
            <w:pPr>
              <w:spacing w:after="0"/>
            </w:pPr>
            <w:r>
              <w:rPr>
                <w:sz w:val="17"/>
                <w:szCs w:val="17"/>
              </w:rPr>
              <w:t xml:space="preserve">Soumettre un document en revue, puis tenter de modifier l'une de ses exigences : l'écriture est refusée et le refus est journalisé.</w:t>
            </w:r>
          </w:p>
        </w:tc>
      </w:tr>
      <w:tr>
        <w:tc>
          <w:tcPr>
            <w:tcW w:type="pct" w:w="22%"/>
            <w:tcMar>
              <w:top w:type="dxa" w:w="80"/>
              <w:left w:type="dxa" w:w="110"/>
              <w:bottom w:type="dxa" w:w="80"/>
              <w:right w:type="dxa" w:w="110"/>
            </w:tcMar>
          </w:tcPr>
          <w:p>
            <w:pPr>
              <w:spacing w:after="0"/>
            </w:pPr>
            <w:r>
              <w:rPr>
                <w:b/>
                <w:bCs/>
                <w:color w:val="4338CA"/>
                <w:sz w:val="17"/>
                <w:szCs w:val="17"/>
              </w:rPr>
              <w:t xml:space="preserve">Empreinte du contenu projeté</w:t>
            </w:r>
          </w:p>
        </w:tc>
        <w:tc>
          <w:tcPr>
            <w:tcW w:type="pct" w:w="45%"/>
            <w:tcMar>
              <w:top w:type="dxa" w:w="80"/>
              <w:left w:type="dxa" w:w="110"/>
              <w:bottom w:type="dxa" w:w="80"/>
              <w:right w:type="dxa" w:w="110"/>
            </w:tcMar>
          </w:tcPr>
          <w:p>
            <w:pPr>
              <w:spacing w:after="0"/>
            </w:pPr>
            <w:r>
              <w:rPr>
                <w:sz w:val="17"/>
                <w:szCs w:val="17"/>
              </w:rPr>
              <w:t xml:space="preserve">Une empreinte SHA-256 est calculée sur les VALEURS du graphe sérialisées dans un ordre fixe — indépendamment de la mise en forme et de l'état des signatures. C'est elle qui répond à la question « le contenu a-t-il bougé ? ».</w:t>
            </w:r>
          </w:p>
        </w:tc>
        <w:tc>
          <w:tcPr>
            <w:tcW w:type="pct" w:w="33%"/>
            <w:tcMar>
              <w:top w:type="dxa" w:w="80"/>
              <w:left w:type="dxa" w:w="110"/>
              <w:bottom w:type="dxa" w:w="80"/>
              <w:right w:type="dxa" w:w="110"/>
            </w:tcMar>
          </w:tcPr>
          <w:p>
            <w:pPr>
              <w:spacing w:after="0"/>
            </w:pPr>
            <w:r>
              <w:rPr>
                <w:sz w:val="17"/>
                <w:szCs w:val="17"/>
              </w:rPr>
              <w:t xml:space="preserve">L'empreinte est affichée en entier sur la fiche du document, imprimée dans le document lui-même et reprise dans la piste d'audit.</w:t>
            </w:r>
          </w:p>
        </w:tc>
      </w:tr>
      <w:tr>
        <w:tc>
          <w:tcPr>
            <w:tcW w:type="pct" w:w="22%"/>
            <w:tcMar>
              <w:top w:type="dxa" w:w="80"/>
              <w:left w:type="dxa" w:w="110"/>
              <w:bottom w:type="dxa" w:w="80"/>
              <w:right w:type="dxa" w:w="110"/>
            </w:tcMar>
          </w:tcPr>
          <w:p>
            <w:pPr>
              <w:spacing w:after="0"/>
            </w:pPr>
            <w:r>
              <w:rPr>
                <w:b/>
                <w:bCs/>
                <w:color w:val="4338CA"/>
                <w:sz w:val="17"/>
                <w:szCs w:val="17"/>
              </w:rPr>
              <w:t xml:space="preserve">Conservation des octets</w:t>
            </w:r>
          </w:p>
        </w:tc>
        <w:tc>
          <w:tcPr>
            <w:tcW w:type="pct" w:w="45%"/>
            <w:tcMar>
              <w:top w:type="dxa" w:w="80"/>
              <w:left w:type="dxa" w:w="110"/>
              <w:bottom w:type="dxa" w:w="80"/>
              <w:right w:type="dxa" w:w="110"/>
            </w:tcMar>
          </w:tcPr>
          <w:p>
            <w:pPr>
              <w:spacing w:after="0"/>
            </w:pPr>
            <w:r>
              <w:rPr>
                <w:sz w:val="17"/>
                <w:szCs w:val="17"/>
              </w:rPr>
              <w:t xml:space="preserve">Le fichier .docx produit au gel est conservé tel quel, hors base, avec sa propre empreinte. Le téléchargement sert ces octets ; il ne régénère jamais le document.</w:t>
            </w:r>
          </w:p>
        </w:tc>
        <w:tc>
          <w:tcPr>
            <w:tcW w:type="pct" w:w="33%"/>
            <w:tcMar>
              <w:top w:type="dxa" w:w="80"/>
              <w:left w:type="dxa" w:w="110"/>
              <w:bottom w:type="dxa" w:w="80"/>
              <w:right w:type="dxa" w:w="110"/>
            </w:tcMar>
          </w:tcPr>
          <w:p>
            <w:pPr>
              <w:spacing w:after="0"/>
            </w:pPr>
            <w:r>
              <w:rPr>
                <w:sz w:val="17"/>
                <w:szCs w:val="17"/>
              </w:rPr>
              <w:t xml:space="preserve">Télécharger l'enregistrement deux fois à un jour d'intervalle et comparer les empreintes des deux fichiers : elles sont identiques.</w:t>
            </w:r>
          </w:p>
        </w:tc>
      </w:tr>
      <w:tr>
        <w:tc>
          <w:tcPr>
            <w:tcW w:type="pct" w:w="22%"/>
            <w:tcMar>
              <w:top w:type="dxa" w:w="80"/>
              <w:left w:type="dxa" w:w="110"/>
              <w:bottom w:type="dxa" w:w="80"/>
              <w:right w:type="dxa" w:w="110"/>
            </w:tcMar>
          </w:tcPr>
          <w:p>
            <w:pPr>
              <w:spacing w:after="0"/>
            </w:pPr>
            <w:r>
              <w:rPr>
                <w:b/>
                <w:bCs/>
                <w:color w:val="4338CA"/>
                <w:sz w:val="17"/>
                <w:szCs w:val="17"/>
              </w:rPr>
              <w:t xml:space="preserve">Détection d'altération</w:t>
            </w:r>
          </w:p>
        </w:tc>
        <w:tc>
          <w:tcPr>
            <w:tcW w:type="pct" w:w="45%"/>
            <w:tcMar>
              <w:top w:type="dxa" w:w="80"/>
              <w:left w:type="dxa" w:w="110"/>
              <w:bottom w:type="dxa" w:w="80"/>
              <w:right w:type="dxa" w:w="110"/>
            </w:tcMar>
          </w:tcPr>
          <w:p>
            <w:pPr>
              <w:spacing w:after="0"/>
            </w:pPr>
            <w:r>
              <w:rPr>
                <w:sz w:val="17"/>
                <w:szCs w:val="17"/>
              </w:rPr>
              <w:t xml:space="preserve">L'empreinte du fichier est re-vérifiée à chaque téléchargement. Un fichier altéré sur le disque est REFUSÉ, avec une erreur explicite et une entrée dans la piste d'audit — il n'est jamais remplacé en silence par une régénération.</w:t>
            </w:r>
          </w:p>
        </w:tc>
        <w:tc>
          <w:tcPr>
            <w:tcW w:type="pct" w:w="33%"/>
            <w:tcMar>
              <w:top w:type="dxa" w:w="80"/>
              <w:left w:type="dxa" w:w="110"/>
              <w:bottom w:type="dxa" w:w="80"/>
              <w:right w:type="dxa" w:w="110"/>
            </w:tcMar>
          </w:tcPr>
          <w:p>
            <w:pPr>
              <w:spacing w:after="0"/>
            </w:pPr>
            <w:r>
              <w:rPr>
                <w:sz w:val="17"/>
                <w:szCs w:val="17"/>
              </w:rPr>
              <w:t xml:space="preserve">Depuis la console du serveur, modifier un octet du fichier conservé, puis tenter le téléchargement : refus, message explicite, entrée d'audit.</w:t>
            </w:r>
          </w:p>
        </w:tc>
      </w:tr>
      <w:tr>
        <w:tc>
          <w:tcPr>
            <w:tcW w:type="pct" w:w="22%"/>
            <w:tcMar>
              <w:top w:type="dxa" w:w="80"/>
              <w:left w:type="dxa" w:w="110"/>
              <w:bottom w:type="dxa" w:w="80"/>
              <w:right w:type="dxa" w:w="110"/>
            </w:tcMar>
          </w:tcPr>
          <w:p>
            <w:pPr>
              <w:spacing w:after="0"/>
            </w:pPr>
            <w:r>
              <w:rPr>
                <w:b/>
                <w:bCs/>
                <w:color w:val="4338CA"/>
                <w:sz w:val="17"/>
                <w:szCs w:val="17"/>
              </w:rPr>
              <w:t xml:space="preserve">Liaison signature ↔ enregistrement</w:t>
            </w:r>
          </w:p>
        </w:tc>
        <w:tc>
          <w:tcPr>
            <w:tcW w:type="pct" w:w="45%"/>
            <w:tcMar>
              <w:top w:type="dxa" w:w="80"/>
              <w:left w:type="dxa" w:w="110"/>
              <w:bottom w:type="dxa" w:w="80"/>
              <w:right w:type="dxa" w:w="110"/>
            </w:tcMar>
          </w:tcPr>
          <w:p>
            <w:pPr>
              <w:spacing w:after="0"/>
            </w:pPr>
            <w:r>
              <w:rPr>
                <w:sz w:val="17"/>
                <w:szCs w:val="17"/>
              </w:rPr>
              <w:t xml:space="preserve">Chaque signature recopie l'empreinte du contenu qu'elle atteste — dans l'enregistrement de signature lui-même, pas seulement par référence. La manifestation lisible (21 CFR 11.50) la porte, et le document imprimé affiche pour chaque signataire le contenu attesté.</w:t>
            </w:r>
          </w:p>
        </w:tc>
        <w:tc>
          <w:tcPr>
            <w:tcW w:type="pct" w:w="33%"/>
            <w:tcMar>
              <w:top w:type="dxa" w:w="80"/>
              <w:left w:type="dxa" w:w="110"/>
              <w:bottom w:type="dxa" w:w="80"/>
              <w:right w:type="dxa" w:w="110"/>
            </w:tcMar>
          </w:tcPr>
          <w:p>
            <w:pPr>
              <w:spacing w:after="0"/>
            </w:pPr>
            <w:r>
              <w:rPr>
                <w:sz w:val="17"/>
                <w:szCs w:val="17"/>
              </w:rPr>
              <w:t xml:space="preserve">Comparer l'empreinte figurant à côté d'une signature et celle de l'enregistrement : un écart s'affiche en rouge à l'écran.</w:t>
            </w:r>
          </w:p>
        </w:tc>
      </w:tr>
      <w:tr>
        <w:tc>
          <w:tcPr>
            <w:tcW w:type="pct" w:w="22%"/>
            <w:tcMar>
              <w:top w:type="dxa" w:w="80"/>
              <w:left w:type="dxa" w:w="110"/>
              <w:bottom w:type="dxa" w:w="80"/>
              <w:right w:type="dxa" w:w="110"/>
            </w:tcMar>
          </w:tcPr>
          <w:p>
            <w:pPr>
              <w:spacing w:after="0"/>
            </w:pPr>
            <w:r>
              <w:rPr>
                <w:b/>
                <w:bCs/>
                <w:color w:val="4338CA"/>
                <w:sz w:val="17"/>
                <w:szCs w:val="17"/>
              </w:rPr>
              <w:t xml:space="preserve">Refus de publication en cas de dérive</w:t>
            </w:r>
          </w:p>
        </w:tc>
        <w:tc>
          <w:tcPr>
            <w:tcW w:type="pct" w:w="45%"/>
            <w:tcMar>
              <w:top w:type="dxa" w:w="80"/>
              <w:left w:type="dxa" w:w="110"/>
              <w:bottom w:type="dxa" w:w="80"/>
              <w:right w:type="dxa" w:w="110"/>
            </w:tcMar>
          </w:tcPr>
          <w:p>
            <w:pPr>
              <w:spacing w:after="0"/>
            </w:pPr>
            <w:r>
              <w:rPr>
                <w:sz w:val="17"/>
                <w:szCs w:val="17"/>
              </w:rPr>
              <w:t xml:space="preserve">À la publication, l'empreinte du contenu est RECALCULÉE et comparée à celle du gel. Si elle diffère — y compris à la suite d'une écriture faite hors de l'application, directement en base — la publication est refusée et les deux empreintes sont inscrites dans la piste d'audit.</w:t>
            </w:r>
          </w:p>
        </w:tc>
        <w:tc>
          <w:tcPr>
            <w:tcW w:type="pct" w:w="33%"/>
            <w:tcMar>
              <w:top w:type="dxa" w:w="80"/>
              <w:left w:type="dxa" w:w="110"/>
              <w:bottom w:type="dxa" w:w="80"/>
              <w:right w:type="dxa" w:w="110"/>
            </w:tcMar>
          </w:tcPr>
          <w:p>
            <w:pPr>
              <w:spacing w:after="0"/>
            </w:pPr>
            <w:r>
              <w:rPr>
                <w:sz w:val="17"/>
                <w:szCs w:val="17"/>
              </w:rPr>
              <w:t xml:space="preserve">Modifier le contenu directement en base pendant la revue, puis tenter de publier : refus, document maintenu en revue, écart journalisé.</w:t>
            </w:r>
          </w:p>
        </w:tc>
      </w:tr>
      <w:tr>
        <w:tc>
          <w:tcPr>
            <w:tcW w:type="pct" w:w="22%"/>
            <w:tcMar>
              <w:top w:type="dxa" w:w="80"/>
              <w:left w:type="dxa" w:w="110"/>
              <w:bottom w:type="dxa" w:w="80"/>
              <w:right w:type="dxa" w:w="110"/>
            </w:tcMar>
          </w:tcPr>
          <w:p>
            <w:pPr>
              <w:spacing w:after="0"/>
            </w:pPr>
            <w:r>
              <w:rPr>
                <w:b/>
                <w:bCs/>
                <w:color w:val="4338CA"/>
                <w:sz w:val="17"/>
                <w:szCs w:val="17"/>
              </w:rPr>
              <w:t xml:space="preserve">Historique en ajout seul</w:t>
            </w:r>
          </w:p>
        </w:tc>
        <w:tc>
          <w:tcPr>
            <w:tcW w:type="pct" w:w="45%"/>
            <w:tcMar>
              <w:top w:type="dxa" w:w="80"/>
              <w:left w:type="dxa" w:w="110"/>
              <w:bottom w:type="dxa" w:w="80"/>
              <w:right w:type="dxa" w:w="110"/>
            </w:tcMar>
          </w:tcPr>
          <w:p>
            <w:pPr>
              <w:spacing w:after="0"/>
            </w:pPr>
            <w:r>
              <w:rPr>
                <w:sz w:val="17"/>
                <w:szCs w:val="17"/>
              </w:rPr>
              <w:t xml:space="preserve">Un retour en brouillon ou une nouvelle révision marque le gel comme dépassé sans jamais le détruire. L'enregistrement approuvé d'une révision reste téléchargeable après l'ouverture de la suivante.</w:t>
            </w:r>
          </w:p>
        </w:tc>
        <w:tc>
          <w:tcPr>
            <w:tcW w:type="pct" w:w="33%"/>
            <w:tcMar>
              <w:top w:type="dxa" w:w="80"/>
              <w:left w:type="dxa" w:w="110"/>
              <w:bottom w:type="dxa" w:w="80"/>
              <w:right w:type="dxa" w:w="110"/>
            </w:tcMar>
          </w:tcPr>
          <w:p>
            <w:pPr>
              <w:spacing w:after="0"/>
            </w:pPr>
            <w:r>
              <w:rPr>
                <w:sz w:val="17"/>
                <w:szCs w:val="17"/>
              </w:rPr>
              <w:t xml:space="preserve">Ouvrir une révision 002, puis retrouver et télécharger l'enregistrement approuvé de la révision 001 depuis la fiche du document.</w:t>
            </w:r>
          </w:p>
        </w:tc>
      </w:tr>
      <w:tr>
        <w:tc>
          <w:tcPr>
            <w:tcW w:type="pct" w:w="22%"/>
            <w:tcMar>
              <w:top w:type="dxa" w:w="80"/>
              <w:left w:type="dxa" w:w="110"/>
              <w:bottom w:type="dxa" w:w="80"/>
              <w:right w:type="dxa" w:w="110"/>
            </w:tcMar>
          </w:tcPr>
          <w:p>
            <w:pPr>
              <w:spacing w:after="0"/>
            </w:pPr>
            <w:r>
              <w:rPr>
                <w:b/>
                <w:bCs/>
                <w:color w:val="4338CA"/>
                <w:sz w:val="17"/>
                <w:szCs w:val="17"/>
              </w:rPr>
              <w:t xml:space="preserve">Chaînage de la piste d'audit</w:t>
            </w:r>
          </w:p>
        </w:tc>
        <w:tc>
          <w:tcPr>
            <w:tcW w:type="pct" w:w="45%"/>
            <w:tcMar>
              <w:top w:type="dxa" w:w="80"/>
              <w:left w:type="dxa" w:w="110"/>
              <w:bottom w:type="dxa" w:w="80"/>
              <w:right w:type="dxa" w:w="110"/>
            </w:tcMar>
          </w:tcPr>
          <w:p>
            <w:pPr>
              <w:spacing w:after="0"/>
            </w:pPr>
            <w:r>
              <w:rPr>
                <w:sz w:val="17"/>
                <w:szCs w:val="17"/>
              </w:rPr>
              <w:t xml:space="preserve">Chaque entrée porte l'empreinte de la précédente. Modifier ou supprimer une entrée directement dans le fichier de base de données rompt le maillon de toutes les suivantes : l'écran du journal vérifie la chaîne à chaque affichage et nomme le rang où elle se rompt. Toute écriture passe par un point de passage unique, y compris les deux outils privilégiés de la console serveur, dont l'implémentation miroir est prouvée équivalente par la qualification.</w:t>
            </w:r>
          </w:p>
        </w:tc>
        <w:tc>
          <w:tcPr>
            <w:tcW w:type="pct" w:w="33%"/>
            <w:tcMar>
              <w:top w:type="dxa" w:w="80"/>
              <w:left w:type="dxa" w:w="110"/>
              <w:bottom w:type="dxa" w:w="80"/>
              <w:right w:type="dxa" w:w="110"/>
            </w:tcMar>
          </w:tcPr>
          <w:p>
            <w:pPr>
              <w:spacing w:after="0"/>
            </w:pPr>
            <w:r>
              <w:rPr>
                <w:sz w:val="17"/>
                <w:szCs w:val="17"/>
              </w:rPr>
              <w:t xml:space="preserve">Depuis la console du serveur, modifier le motif d'une entrée directement en base, puis ouvrir le journal d'audit : un bandeau rouge nomme le rang de la rupture. Remettre la valeur d'origine : la chaîne redevient intacte.</w:t>
            </w:r>
          </w:p>
        </w:tc>
      </w:tr>
      <w:tr>
        <w:tc>
          <w:tcPr>
            <w:tcW w:type="pct" w:w="22%"/>
            <w:tcMar>
              <w:top w:type="dxa" w:w="80"/>
              <w:left w:type="dxa" w:w="110"/>
              <w:bottom w:type="dxa" w:w="80"/>
              <w:right w:type="dxa" w:w="110"/>
            </w:tcMar>
          </w:tcPr>
          <w:p>
            <w:pPr>
              <w:spacing w:after="0"/>
            </w:pPr>
            <w:r>
              <w:rPr>
                <w:b/>
                <w:bCs/>
                <w:color w:val="4338CA"/>
                <w:sz w:val="17"/>
                <w:szCs w:val="17"/>
              </w:rPr>
              <w:t xml:space="preserve">Attribution des signatures dans le temps</w:t>
            </w:r>
          </w:p>
        </w:tc>
        <w:tc>
          <w:tcPr>
            <w:tcW w:type="pct" w:w="45%"/>
            <w:tcMar>
              <w:top w:type="dxa" w:w="80"/>
              <w:left w:type="dxa" w:w="110"/>
              <w:bottom w:type="dxa" w:w="80"/>
              <w:right w:type="dxa" w:w="110"/>
            </w:tcMar>
          </w:tcPr>
          <w:p>
            <w:pPr>
              <w:spacing w:after="0"/>
            </w:pPr>
            <w:r>
              <w:rPr>
                <w:sz w:val="17"/>
                <w:szCs w:val="17"/>
              </w:rPr>
              <w:t xml:space="preserve">La date du dernier changement de mot de passe est enregistrée à chaque écriture, et l'âge de chaque compte est visible sur l'écran des utilisateurs. Le compte administrateur créé à l'amorçage d'une installation — dont le mot de passe vient du fichier de composition, et n'est donc pas un secret — exige son renouvellement à la première connexion. Si votre organisation déclare une durée de validité, son dépassement exige également le renouvellement, et rien n'est accessible avant qu'il ait eu lieu, pas même une route de téléchargement.</w:t>
            </w:r>
          </w:p>
        </w:tc>
        <w:tc>
          <w:tcPr>
            <w:tcW w:type="pct" w:w="33%"/>
            <w:tcMar>
              <w:top w:type="dxa" w:w="80"/>
              <w:left w:type="dxa" w:w="110"/>
              <w:bottom w:type="dxa" w:w="80"/>
              <w:right w:type="dxa" w:w="110"/>
            </w:tcMar>
          </w:tcPr>
          <w:p>
            <w:pPr>
              <w:spacing w:after="0"/>
            </w:pPr>
            <w:r>
              <w:rPr>
                <w:sz w:val="17"/>
                <w:szCs w:val="17"/>
              </w:rPr>
              <w:t xml:space="preserve">Déclarer une durée d'expiration très courte dans les réglages, puis se reconnecter avec un compte dont le mot de passe est plus ancien : l'écran de renouvellement s'impose et aucune autre page n'est atteignable, pas même une route de téléchargement collée dans la barre d'adresse. L'écran des utilisateurs affiche ensuite « 0 j » pour ce compte.</w:t>
            </w:r>
          </w:p>
        </w:tc>
      </w:tr>
      <w:tr>
        <w:tc>
          <w:tcPr>
            <w:tcW w:type="pct" w:w="22%"/>
            <w:tcMar>
              <w:top w:type="dxa" w:w="80"/>
              <w:left w:type="dxa" w:w="110"/>
              <w:bottom w:type="dxa" w:w="80"/>
              <w:right w:type="dxa" w:w="110"/>
            </w:tcMar>
          </w:tcPr>
          <w:p>
            <w:pPr>
              <w:spacing w:after="0"/>
            </w:pPr>
            <w:r>
              <w:rPr>
                <w:b/>
                <w:bCs/>
                <w:color w:val="4338CA"/>
                <w:sz w:val="17"/>
                <w:szCs w:val="17"/>
              </w:rPr>
              <w:t xml:space="preserve">Personne ne peut poser le mot de passe d'un autre</w:t>
            </w:r>
          </w:p>
        </w:tc>
        <w:tc>
          <w:tcPr>
            <w:tcW w:type="pct" w:w="45%"/>
            <w:tcMar>
              <w:top w:type="dxa" w:w="80"/>
              <w:left w:type="dxa" w:w="110"/>
              <w:bottom w:type="dxa" w:w="80"/>
              <w:right w:type="dxa" w:w="110"/>
            </w:tcMar>
          </w:tcPr>
          <w:p>
            <w:pPr>
              <w:spacing w:after="0"/>
            </w:pPr>
            <w:r>
              <w:rPr>
                <w:sz w:val="17"/>
                <w:szCs w:val="17"/>
              </w:rPr>
              <w:t xml:space="preserve">Aucune fonction du logiciel ne permet de choisir le mot de passe de quelqu'un d'autre : le seul champ où l'on saisit un mot de passe est celui où l'on saisit le sien. Un administrateur émet un jeton à usage unique, valable 24 h, stocké haché et affiché une seule fois ; son titulaire le consomme depuis l'écran de connexion et choisit lui-même son secret. Un jeton déjà consommé, expiré, révoqué par une réémission ou émis pour un autre compte est refusé. Émettre un jeton révoque les sessions ouvertes du compte concerné.</w:t>
            </w:r>
          </w:p>
        </w:tc>
        <w:tc>
          <w:tcPr>
            <w:tcW w:type="pct" w:w="33%"/>
            <w:tcMar>
              <w:top w:type="dxa" w:w="80"/>
              <w:left w:type="dxa" w:w="110"/>
              <w:bottom w:type="dxa" w:w="80"/>
              <w:right w:type="dxa" w:w="110"/>
            </w:tcMar>
          </w:tcPr>
          <w:p>
            <w:pPr>
              <w:spacing w:after="0"/>
            </w:pPr>
            <w:r>
              <w:rPr>
                <w:sz w:val="17"/>
                <w:szCs w:val="17"/>
              </w:rPr>
              <w:t xml:space="preserve">Sur l'écran des utilisateurs, émettre un jeton pour un compte : le mot de passe n'est jamais demandé. Le consommer depuis l'écran de connexion, lien « J'ai un jeton de réinitialisation », puis tenter de le consommer une seconde fois : refusé. La piste d'audit porte l'émission et la consommation, avec leurs auteurs respectifs.</w:t>
            </w:r>
          </w:p>
        </w:tc>
      </w:tr>
      <w:tr>
        <w:tc>
          <w:tcPr>
            <w:tcW w:type="pct" w:w="22%"/>
            <w:tcMar>
              <w:top w:type="dxa" w:w="80"/>
              <w:left w:type="dxa" w:w="110"/>
              <w:bottom w:type="dxa" w:w="80"/>
              <w:right w:type="dxa" w:w="110"/>
            </w:tcMar>
          </w:tcPr>
          <w:p>
            <w:pPr>
              <w:spacing w:after="0"/>
            </w:pPr>
            <w:r>
              <w:rPr>
                <w:b/>
                <w:bCs/>
                <w:color w:val="4338CA"/>
                <w:sz w:val="17"/>
                <w:szCs w:val="17"/>
              </w:rPr>
              <w:t xml:space="preserve">Vue de travail explicitement désignée</w:t>
            </w:r>
          </w:p>
        </w:tc>
        <w:tc>
          <w:tcPr>
            <w:tcW w:type="pct" w:w="45%"/>
            <w:tcMar>
              <w:top w:type="dxa" w:w="80"/>
              <w:left w:type="dxa" w:w="110"/>
              <w:bottom w:type="dxa" w:w="80"/>
              <w:right w:type="dxa" w:w="110"/>
            </w:tcMar>
          </w:tcPr>
          <w:p>
            <w:pPr>
              <w:spacing w:after="0"/>
            </w:pPr>
            <w:r>
              <w:rPr>
                <w:sz w:val="17"/>
                <w:szCs w:val="17"/>
              </w:rPr>
              <w:t xml:space="preserve">La projection vive reste accessible — c'est l'intérêt d'un graphe. Le fichier ainsi produit porte en première page « VUE DE TRAVAIL — ce fichier n'est pas l'enregistrement approuvé », et son nom le distingue. Un destinataire qui le reçoit par courriel ne peut pas s'y tromper.</w:t>
            </w:r>
          </w:p>
        </w:tc>
        <w:tc>
          <w:tcPr>
            <w:tcW w:type="pct" w:w="33%"/>
            <w:tcMar>
              <w:top w:type="dxa" w:w="80"/>
              <w:left w:type="dxa" w:w="110"/>
              <w:bottom w:type="dxa" w:w="80"/>
              <w:right w:type="dxa" w:w="110"/>
            </w:tcMar>
          </w:tcPr>
          <w:p>
            <w:pPr>
              <w:spacing w:after="0"/>
            </w:pPr>
            <w:r>
              <w:rPr>
                <w:sz w:val="17"/>
                <w:szCs w:val="17"/>
              </w:rPr>
              <w:t xml:space="preserve">Télécharger la projection vive d'un document publié : le bandeau figure sous la page de titre, le nom du fichier porte le suffixe « vue-de-travail ».</w:t>
            </w:r>
          </w:p>
        </w:tc>
      </w:tr>
    </w:tbl>
    <w:p>
      <w:pPr>
        <w:pStyle w:val="Heading1"/>
        <w:spacing w:after="140" w:before="320"/>
      </w:pPr>
      <w:r>
        <w:t xml:space="preserve">6. Ce qui reste à la charge de votre organisation</w:t>
      </w:r>
    </w:p>
    <w:p>
      <w:pPr>
        <w:spacing w:after="60"/>
      </w:pPr>
      <w:r>
        <w:rPr>
          <w:b/>
          <w:bCs/>
          <w:sz w:val="20"/>
          <w:szCs w:val="20"/>
        </w:rPr>
        <w:t xml:space="preserve">Sauvegarder le volume de fichiers, pas seulement la base</w:t>
      </w:r>
    </w:p>
    <w:p>
      <w:pPr>
        <w:spacing w:after="140"/>
      </w:pPr>
      <w:r>
        <w:rPr>
          <w:sz w:val="20"/>
          <w:szCs w:val="20"/>
        </w:rPr>
        <w:t xml:space="preserve">Les enregistrements figés vivent dans le volume de fichiers, à côté des données brutes d'essai. Une sauvegarde qui ne prendrait que la base restituerait des empreintes sans les documents qu'elles décrivent. Le guide d'installation impose la sauvegarde conjointe des deux volumes et fournit un contrôle qui échoue bruyamment si l'archive est vide.</w:t>
      </w:r>
    </w:p>
    <w:p>
      <w:pPr>
        <w:spacing w:after="60"/>
      </w:pPr>
      <w:r>
        <w:rPr>
          <w:b/>
          <w:bCs/>
          <w:sz w:val="20"/>
          <w:szCs w:val="20"/>
        </w:rPr>
        <w:t xml:space="preserve">Restreindre l'accès direct à la base et au volume de fichiers</w:t>
      </w:r>
    </w:p>
    <w:p>
      <w:pPr>
        <w:spacing w:after="140"/>
      </w:pPr>
      <w:r>
        <w:rPr>
          <w:sz w:val="20"/>
          <w:szCs w:val="20"/>
        </w:rPr>
        <w:t xml:space="preserve">Les contrôles décrits ci-dessus s'appliquent aux écritures faites PAR l'application. Un administrateur système disposant d'un accès direct au fichier de base de données peut écrire hors de ces contrôles ; la détection de dérive et la détection d'altération le révèlent après coup, elles ne l'empêchent pas. La restriction d'accès relève de votre infrastructure.</w:t>
      </w:r>
    </w:p>
    <w:p>
      <w:pPr>
        <w:spacing w:after="60"/>
      </w:pPr>
      <w:r>
        <w:rPr>
          <w:b/>
          <w:bCs/>
          <w:sz w:val="20"/>
          <w:szCs w:val="20"/>
        </w:rPr>
        <w:t xml:space="preserve">Déclarer votre durée de conservation, et archiver aux moments qui comptent</w:t>
      </w:r>
    </w:p>
    <w:p>
      <w:pPr>
        <w:spacing w:after="140"/>
      </w:pPr>
      <w:r>
        <w:rPr>
          <w:sz w:val="20"/>
          <w:szCs w:val="20"/>
        </w:rPr>
        <w:t xml:space="preserve">Filum ne supprime jamais un enregistrement figé et n'applique aucune purge à l'échéance. La durée se déclare dans les réglages — avec ce qui la fonde et la référence de votre procédure — et se reporte en échéance sur chaque enregistrement archivé. Produire une archive d'inspection à chaque revue de direction, avant chaque mise à jour majeure et au décommissionnement, puis consigner l'empreinte de sa liste d'empreintes hors du système, relève de votre procédure. La note de position « rétention et archivage » détaille le mécanisme et donne un protocole de vérification.</w:t>
      </w:r>
    </w:p>
    <w:p>
      <w:pPr>
        <w:spacing w:after="60"/>
      </w:pPr>
      <w:r>
        <w:rPr>
          <w:b/>
          <w:bCs/>
          <w:sz w:val="20"/>
          <w:szCs w:val="20"/>
        </w:rPr>
        <w:t xml:space="preserve">Décider s'il faut imposer une expiration des mots de passe</w:t>
      </w:r>
    </w:p>
    <w:p>
      <w:pPr>
        <w:spacing w:after="140"/>
      </w:pPr>
      <w:r>
        <w:rPr>
          <w:sz w:val="20"/>
          <w:szCs w:val="20"/>
        </w:rPr>
        <w:t xml:space="preserve">21 CFR 11.300(b) demande que les identifiants soient périodiquement vérifiés, rappelés OU révisés, sans imposer de durée. Le NIST SP 800-63B, lui, déconseille aujourd'hui l'expiration périodique arbitraire. Filum ne tranche pas à votre place : il enregistre toujours l'âge et le rend visible — ce qui suffit à la vérification périodique — et n'impose une expiration que si vous en déclarez une. Ne pas expirer est un choix légitime ; l'écrire dans les réglages, avec ce qui le fonde, en fait une décision qualité plutôt qu'un oubli.</w:t>
      </w:r>
    </w:p>
    <w:p>
      <w:pPr>
        <w:spacing w:after="60"/>
      </w:pPr>
      <w:r>
        <w:rPr>
          <w:b/>
          <w:bCs/>
          <w:sz w:val="20"/>
          <w:szCs w:val="20"/>
        </w:rPr>
        <w:t xml:space="preserve">Prescrire le canal de remise d'un jeton de réinitialisation</w:t>
      </w:r>
    </w:p>
    <w:p>
      <w:pPr>
        <w:spacing w:after="140"/>
      </w:pPr>
      <w:r>
        <w:rPr>
          <w:sz w:val="20"/>
          <w:szCs w:val="20"/>
        </w:rPr>
        <w:t xml:space="preserve">Filum n'a aucun canal sortant : il n'envoie pas de courriel, et lui en donner un contredirait ce qui fait sa promesse — rien ne quitte votre infrastructure. Le jeton s'affiche donc à l'administrateur qui l'émet, à charge pour lui de le remettre selon votre procédure : de vive voix, par téléphone, par votre messagerie interne. Deux conséquences à traiter : écrire ce canal dans votre procédure, et donner aux titulaires la consigne de signaler un jeton refusé comme « déjà utilisé » — c'est le signal qu'un autre l'a consommé à leur place.</w:t>
      </w:r>
    </w:p>
    <w:p>
      <w:pPr>
        <w:spacing w:after="60"/>
      </w:pPr>
      <w:r>
        <w:rPr>
          <w:b/>
          <w:bCs/>
          <w:sz w:val="20"/>
          <w:szCs w:val="20"/>
        </w:rPr>
        <w:t xml:space="preserve">Valider le système dans votre environnement</w:t>
      </w:r>
    </w:p>
    <w:p>
      <w:pPr>
        <w:spacing w:after="140"/>
      </w:pPr>
      <w:r>
        <w:rPr>
          <w:sz w:val="20"/>
          <w:szCs w:val="20"/>
        </w:rPr>
        <w:t xml:space="preserve">Un pack de validation fournisseur ne remplace pas votre propre qualification d'usage. Les mécanismes décrits ici constituent une entrée pour vos protocoles ; ils ne les écrivent pas à votre place.</w:t>
      </w:r>
    </w:p>
    <w:p>
      <w:pPr>
        <w:pStyle w:val="Heading1"/>
        <w:spacing w:after="140" w:before="320"/>
      </w:pPr>
      <w:r>
        <w:t xml:space="preserve">7. Vérifier par vous-même, en dix minutes</w:t>
      </w:r>
    </w:p>
    <w:p>
      <w:pPr>
        <w:spacing w:after="140"/>
      </w:pPr>
      <w:r>
        <w:rPr>
          <w:sz w:val="20"/>
          <w:szCs w:val="20"/>
        </w:rPr>
        <w:t xml:space="preserve">Une affirmation d'éditeur ne vaut que si elle peut être mise en défaut. Voici la procédure ; elle ne demande qu'un compte Approbateur, et les deux dernières étapes un accès à la console du serveur.</w:t>
      </w:r>
    </w:p>
    <w:p>
      <w:pPr>
        <w:spacing w:after="90"/>
        <w:ind w:left="300"/>
      </w:pPr>
      <w:r>
        <w:rPr>
          <w:b/>
          <w:bCs/>
          <w:color w:val="4338CA"/>
          <w:sz w:val="20"/>
          <w:szCs w:val="20"/>
        </w:rPr>
        <w:t xml:space="preserve">1. </w:t>
      </w:r>
      <w:r>
        <w:rPr>
          <w:sz w:val="20"/>
          <w:szCs w:val="20"/>
        </w:rPr>
        <w:t xml:space="preserve">Soumettre un document en revue. Relever l'empreinte SHA-256 affichée en entier sur sa fiche.</w:t>
      </w:r>
    </w:p>
    <w:p>
      <w:pPr>
        <w:spacing w:after="90"/>
        <w:ind w:left="300"/>
      </w:pPr>
      <w:r>
        <w:rPr>
          <w:b/>
          <w:bCs/>
          <w:color w:val="4338CA"/>
          <w:sz w:val="20"/>
          <w:szCs w:val="20"/>
        </w:rPr>
        <w:t xml:space="preserve">2. </w:t>
      </w:r>
      <w:r>
        <w:rPr>
          <w:sz w:val="20"/>
          <w:szCs w:val="20"/>
        </w:rPr>
        <w:t xml:space="preserve">Tenter de modifier l'une de ses exigences : l'écriture est refusée, et le refus explique la voie conforme.</w:t>
      </w:r>
    </w:p>
    <w:p>
      <w:pPr>
        <w:spacing w:after="90"/>
        <w:ind w:left="300"/>
      </w:pPr>
      <w:r>
        <w:rPr>
          <w:b/>
          <w:bCs/>
          <w:color w:val="4338CA"/>
          <w:sz w:val="20"/>
          <w:szCs w:val="20"/>
        </w:rPr>
        <w:t xml:space="preserve">3. </w:t>
      </w:r>
      <w:r>
        <w:rPr>
          <w:sz w:val="20"/>
          <w:szCs w:val="20"/>
        </w:rPr>
        <w:t xml:space="preserve">Signer, puis publier. Vérifier que l'empreinte inscrite à côté de la signature est celle relevée à l'étape 1.</w:t>
      </w:r>
    </w:p>
    <w:p>
      <w:pPr>
        <w:spacing w:after="90"/>
        <w:ind w:left="300"/>
      </w:pPr>
      <w:r>
        <w:rPr>
          <w:b/>
          <w:bCs/>
          <w:color w:val="4338CA"/>
          <w:sz w:val="20"/>
          <w:szCs w:val="20"/>
        </w:rPr>
        <w:t xml:space="preserve">4. </w:t>
      </w:r>
      <w:r>
        <w:rPr>
          <w:sz w:val="20"/>
          <w:szCs w:val="20"/>
        </w:rPr>
        <w:t xml:space="preserve">Télécharger l'enregistrement. Ouvrir le fichier : la page de titre porte l'empreinte, la nature de l'enregistrement et la date du gel.</w:t>
      </w:r>
    </w:p>
    <w:p>
      <w:pPr>
        <w:spacing w:after="90"/>
        <w:ind w:left="300"/>
      </w:pPr>
      <w:r>
        <w:rPr>
          <w:b/>
          <w:bCs/>
          <w:color w:val="4338CA"/>
          <w:sz w:val="20"/>
          <w:szCs w:val="20"/>
        </w:rPr>
        <w:t xml:space="preserve">5. </w:t>
      </w:r>
      <w:r>
        <w:rPr>
          <w:sz w:val="20"/>
          <w:szCs w:val="20"/>
        </w:rPr>
        <w:t xml:space="preserve">Télécharger une seconde fois et comparer les empreintes des deux fichiers reçus — sous Windows : « certutil -hashfile &lt;fichier&gt; SHA256 ». Elles sont identiques.</w:t>
      </w:r>
    </w:p>
    <w:p>
      <w:pPr>
        <w:spacing w:after="90"/>
        <w:ind w:left="300"/>
      </w:pPr>
      <w:r>
        <w:rPr>
          <w:b/>
          <w:bCs/>
          <w:color w:val="4338CA"/>
          <w:sz w:val="20"/>
          <w:szCs w:val="20"/>
        </w:rPr>
        <w:t xml:space="preserve">6. </w:t>
      </w:r>
      <w:r>
        <w:rPr>
          <w:sz w:val="20"/>
          <w:szCs w:val="20"/>
        </w:rPr>
        <w:t xml:space="preserve">Télécharger la projection vive depuis « Voir la projection vive » : le fichier porte le bandeau « VUE DE TRAVAIL » et son empreinte diffère. C'est le comportement attendu — ce n'est pas l'enregistrement.</w:t>
      </w:r>
    </w:p>
    <w:p>
      <w:pPr>
        <w:spacing w:after="90"/>
        <w:ind w:left="300"/>
      </w:pPr>
      <w:r>
        <w:rPr>
          <w:b/>
          <w:bCs/>
          <w:color w:val="4338CA"/>
          <w:sz w:val="20"/>
          <w:szCs w:val="20"/>
        </w:rPr>
        <w:t xml:space="preserve">7. </w:t>
      </w:r>
      <w:r>
        <w:rPr>
          <w:sz w:val="20"/>
          <w:szCs w:val="20"/>
        </w:rPr>
        <w:t xml:space="preserve">Depuis la console du serveur, modifier un octet du fichier conservé, puis relancer le téléchargement : il est refusé, et la piste d'audit porte l'anomalie.</w:t>
      </w:r>
    </w:p>
    <w:p>
      <w:pPr>
        <w:spacing w:after="90"/>
        <w:ind w:left="300"/>
      </w:pPr>
      <w:r>
        <w:rPr>
          <w:b/>
          <w:bCs/>
          <w:color w:val="4338CA"/>
          <w:sz w:val="20"/>
          <w:szCs w:val="20"/>
        </w:rPr>
        <w:t xml:space="preserve">8. </w:t>
      </w:r>
      <w:r>
        <w:rPr>
          <w:sz w:val="20"/>
          <w:szCs w:val="20"/>
        </w:rPr>
        <w:t xml:space="preserve">Toujours depuis la console, modifier une exigence directement en base pendant la revue d'un autre document, puis tenter de le publier : la publication est refusée et les deux empreintes sont journalisées.</w:t>
      </w:r>
    </w:p>
    <w:p>
      <w:pPr>
        <w:spacing w:after="160"/>
      </w:pPr>
      <w:r>
        <w:rPr>
          <w:b/>
          <w:bCs/>
          <w:color w:val="047857"/>
          <w:sz w:val="20"/>
          <w:szCs w:val="20"/>
        </w:rPr>
        <w:t xml:space="preserve">Si l'une de ces étapes ne se comporte pas comme décrit, la présente note est fausse et nous voulons le savoir.</w:t>
      </w:r>
    </w:p>
    <w:p>
      <w:pPr>
        <w:pStyle w:val="Heading1"/>
        <w:spacing w:after="140" w:before="320"/>
      </w:pPr>
      <w:r>
        <w:t xml:space="preserve">8. Ce que ce mécanisme ne couvre pas</w:t>
      </w:r>
    </w:p>
    <w:p>
      <w:pPr>
        <w:spacing w:after="140"/>
      </w:pPr>
      <w:r>
        <w:rPr>
          <w:sz w:val="20"/>
          <w:szCs w:val="20"/>
        </w:rPr>
        <w:t xml:space="preserve">Ces points figurent également dans la matrice 21 CFR Part 11 remise avec le logiciel. Aucun n'empêche l'usage de Filum ; chacun doit être connu de votre responsable qualité avant déploiement.</w:t>
      </w:r>
    </w:p>
    <w:p>
      <w:pPr>
        <w:spacing w:after="60"/>
      </w:pPr>
      <w:r>
        <w:rPr>
          <w:b/>
          <w:bCs/>
          <w:color w:val="B45309"/>
          <w:sz w:val="20"/>
          <w:szCs w:val="20"/>
        </w:rPr>
        <w:t xml:space="preserve">Documents approuvés avant la mise en place du gel</w:t>
      </w:r>
    </w:p>
    <w:p>
      <w:pPr>
        <w:spacing w:after="140"/>
      </w:pPr>
      <w:r>
        <w:rPr>
          <w:sz w:val="20"/>
          <w:szCs w:val="20"/>
        </w:rPr>
        <w:t xml:space="preserve">Un document approuvé dans une version antérieure du logiciel n'a pas de copie figée : l'état du graphe au moment de ses signatures n'est pas récupérable, et aucune reconstitution après coup ne le prouverait. Sa fiche l'indique explicitement plutôt que de laisser croire à une copie manquante. Le gel s'applique normalement dès sa prochaine révision : le point se referme de lui-même à mesure que le fonds documentaire est révisé.</w:t>
      </w:r>
    </w:p>
    <w:p>
      <w:pPr>
        <w:spacing w:after="60"/>
      </w:pPr>
      <w:r>
        <w:rPr>
          <w:b/>
          <w:bCs/>
          <w:color w:val="B45309"/>
          <w:sz w:val="20"/>
          <w:szCs w:val="20"/>
        </w:rPr>
        <w:t xml:space="preserve">Portée du chaînage de la piste d'audit</w:t>
      </w:r>
    </w:p>
    <w:p>
      <w:pPr>
        <w:spacing w:after="140"/>
      </w:pPr>
      <w:r>
        <w:rPr>
          <w:sz w:val="20"/>
          <w:szCs w:val="20"/>
        </w:rPr>
        <w:t xml:space="preserve">La chaîne détecte une altération, elle ne l'empêche pas : l'accès direct à la base doit rester restreint par votre infrastructure. Et qui écrit dans la base peut recalculer la chaîne — c'est l'ancre horodatée de l'archive qui rend l'altération indéniable, à condition que vous produisiez ces archives et en conserviez les ancres hors du système. Enfin, les entrées antérieures à l'installation du chaînage sont protégées à partir de leur mise en chaîne, pas rétroactivement.</w:t>
      </w:r>
    </w:p>
    <w:p>
      <w:pPr>
        <w:spacing w:after="60"/>
      </w:pPr>
      <w:r>
        <w:rPr>
          <w:b/>
          <w:bCs/>
          <w:color w:val="B45309"/>
          <w:sz w:val="20"/>
          <w:szCs w:val="20"/>
        </w:rPr>
        <w:t xml:space="preserve">Portée de l'empreinte de contenu</w:t>
      </w:r>
    </w:p>
    <w:p>
      <w:pPr>
        <w:spacing w:after="140"/>
      </w:pPr>
      <w:r>
        <w:rPr>
          <w:sz w:val="20"/>
          <w:szCs w:val="20"/>
        </w:rPr>
        <w:t xml:space="preserve">L'empreinte couvre les valeurs du graphe que le document projette. Elle est calculée à partir de la même requête que celle qui produit le document, précisément pour que les deux ne divergent pas ; mais il s'agit d'une garantie d'ingénierie, pas d'une preuve formelle. En cas de divergence, le mode de défaillance serait de ne pas détecter une dérive — jamais de corrompre un enregistrement conservé.</w:t>
      </w:r>
    </w:p>
    <w:p>
      <w:pPr>
        <w:spacing w:after="60"/>
      </w:pPr>
      <w:r>
        <w:rPr>
          <w:b/>
          <w:bCs/>
          <w:color w:val="B45309"/>
          <w:sz w:val="20"/>
          <w:szCs w:val="20"/>
        </w:rPr>
        <w:t xml:space="preserve">Enregistrements approuvés avant l'approbation par révision</w:t>
      </w:r>
    </w:p>
    <w:p>
      <w:pPr>
        <w:spacing w:after="140"/>
      </w:pPr>
      <w:r>
        <w:rPr>
          <w:sz w:val="20"/>
          <w:szCs w:val="20"/>
        </w:rPr>
        <w:t xml:space="preserve">L'approbation appartient désormais à une révision : ouvrir la suivante crée de nouvelles lignes et laisse intactes celles de la révision publiée — signataire, horodatage, instantané signé et empreinte du contenu attesté. Les révisions approuvées AVANT ce changement, elles, avaient vu leurs lignes réécrites : leurs signatures subsistent dans la piste d'audit, en ajout seul, et l'archive d'inspection les rattache par là en l'indiquant dans son manifeste. Aucune reconstitution en base n'a été fabriquée — elle aurait produit une liaison inventée.</w:t>
      </w:r>
    </w:p>
    <w:p>
      <w:pPr>
        <w:pStyle w:val="Heading1"/>
        <w:spacing w:after="140" w:before="320"/>
      </w:pPr>
      <w:r>
        <w:t xml:space="preserve">9. Ce que vous pouvez écrire, et ce que vous ne devez pas écrire</w:t>
      </w:r>
    </w:p>
    <w:p>
      <w:pPr>
        <w:spacing w:after="140"/>
      </w:pPr>
      <w:r>
        <w:rPr>
          <w:sz w:val="20"/>
          <w:szCs w:val="20"/>
        </w:rPr>
        <w:t xml:space="preserve">Cette note ne rend pas votre organisation conforme, et Filum n'est pas « conforme 21 CFR Part 11 » : la conformité appartient à l'organisation qui exploite le système, et la certification §11.100(c) est un acte de cette organisation auprès de la FDA. Formulation utilisable dans votre documentation qualité :</w:t>
      </w:r>
    </w:p>
    <w:p>
      <w:pPr>
        <w:spacing w:after="200"/>
        <w:ind w:left="400" w:right="400"/>
      </w:pPr>
      <w:r>
        <w:rPr>
          <w:i/>
          <w:iCs/>
          <w:sz w:val="17"/>
          <w:szCs w:val="17"/>
        </w:rPr>
        <w:t xml:space="preserve">« Les enregistrements de conception approuvés dans Filum sont figés au moment où ils sont soumis à approbation : le système conserve le fichier approuvé octet pour octet ainsi que l'empreinte SHA-256 du contenu projeté, chaque signature électronique porte l'empreinte du contenu qu'elle atteste, et la publication est refusée si le contenu a changé depuis le gel. La copie remise à un inspecteur est relue depuis cette conservation, jamais régénérée. Le graphe de traçabilité demeure interrogeable après publication, conformément à la préférence exprimée par les guides d'intégrité des données pour la conservation dynamique. »</w:t>
      </w:r>
    </w:p>
    <w:p>
      <w:pPr>
        <w:spacing w:after="200"/>
      </w:pPr>
      <w:r>
        <w:rPr>
          <w:b/>
          <w:bCs/>
          <w:sz w:val="20"/>
          <w:szCs w:val="20"/>
        </w:rPr>
        <w:t xml:space="preserve">À l'inverse, n'écrivez jamais que le logiciel « garantit la conformité » ou qu'il « régénère les documents à l'identique » : la première affirmation est juridiquement inopérante, la seconde est techniquement fausse pour la raison exposée en section 4.</w:t>
      </w:r>
    </w:p>
    <w:sectPr>
      <w:headerReference w:type="default" r:id="rId7"/>
      <w:footerReference w:type="default" r:id="rId8"/>
      <w:pgSz w:w="11906" w:h="16838" w:orient="portrait"/>
      <w:pgMar w:top="900" w:right="800" w:bottom="900" w:left="8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75569"/>
        <w:sz w:val="15"/>
        <w:szCs w:val="15"/>
      </w:rPr>
      <w:t xml:space="preserve">Page </w:t>
    </w:r>
    <w:r>
      <w:rPr>
        <w:color w:val="475569"/>
        <w:sz w:val="15"/>
        <w:szCs w:val="15"/>
      </w:rPr>
      <w:fldChar w:fldCharType="begin"/>
      <w:instrText xml:space="preserve">PAGE</w:instrText>
      <w:fldChar w:fldCharType="separate"/>
      <w:fldChar w:fldCharType="end"/>
    </w:r>
    <w:r>
      <w:rPr>
        <w:color w:val="475569"/>
        <w:sz w:val="15"/>
        <w:szCs w:val="15"/>
      </w:rPr>
      <w:t xml:space="preserve"> sur </w:t>
    </w:r>
    <w:r>
      <w:rPr>
        <w:color w:val="475569"/>
        <w:sz w:val="15"/>
        <w:szCs w:val="15"/>
      </w:rPr>
      <w:fldChar w:fldCharType="begin"/>
      <w:instrText xml:space="preserve">NUMPAGES</w:instrText>
      <w:fldChar w:fldCharType="separate"/>
      <w:fldChar w:fldCharType="end"/>
    </w:r>
    <w:r>
      <w:rPr>
        <w:color w:val="475569"/>
        <w:sz w:val="15"/>
        <w:szCs w:val="15"/>
      </w:rPr>
      <w:t xml:space="preserve">   ·   À lire avec la matrice 21 CFR Part 11. Décrit l'état du logiciel à la version livrée.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color w:val="475569"/>
        <w:sz w:val="15"/>
        <w:szCs w:val="15"/>
      </w:rPr>
      <w:t xml:space="preserve">Filum — Intégrité des données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40" w:before="320"/>
    </w:pPr>
    <w:rPr>
      <w:rFonts w:ascii="Calibri" w:cs="Calibri" w:eastAsia="Calibri" w:hAnsi="Calibri"/>
      <w:b/>
      <w:bCs/>
      <w:color w:val="4338C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2026-10-01T11:27:20.127Z</dcterms:created>
  <dcterms:modified xsi:type="dcterms:W3CDTF">2026-10-01T11:27:20.128Z</dcterms:modified>
</cp:coreProperties>
</file>

<file path=docProps/custom.xml><?xml version="1.0" encoding="utf-8"?>
<Properties xmlns="http://schemas.openxmlformats.org/officeDocument/2006/custom-properties" xmlns:vt="http://schemas.openxmlformats.org/officeDocument/2006/docPropsVTypes"/>
</file>