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800"/>
        <w:jc w:val="center"/>
      </w:pPr>
      <w:r>
        <w:rPr>
          <w:b/>
          <w:bCs/>
          <w:color w:val="4338CA"/>
          <w:sz w:val="44"/>
          <w:szCs w:val="44"/>
        </w:rPr>
        <w:t xml:space="preserve">Filum</w:t>
      </w:r>
    </w:p>
    <w:p>
      <w:pPr>
        <w:spacing w:after="60"/>
        <w:jc w:val="center"/>
      </w:pPr>
      <w:r>
        <w:rPr>
          <w:b/>
          <w:bCs/>
          <w:sz w:val="34"/>
          <w:szCs w:val="34"/>
        </w:rPr>
        <w:t xml:space="preserve">Note de tenue sous charge</w:t>
      </w:r>
    </w:p>
    <w:p>
      <w:pPr>
        <w:spacing w:after="700"/>
        <w:jc w:val="center"/>
      </w:pPr>
      <w:r>
        <w:rPr>
          <w:color w:val="475569"/>
          <w:sz w:val="22"/>
          <w:szCs w:val="22"/>
        </w:rPr>
        <w:t xml:space="preserve">Campagne mesurée le 2026-08-06 · version 1.2.1 · ce qui se dégrade, et à partir de quand</w:t>
      </w:r>
    </w:p>
    <w:p>
      <w:pPr>
        <w:pStyle w:val="Heading1"/>
        <w:spacing w:after="140" w:before="320"/>
      </w:pPr>
      <w:r>
        <w:t xml:space="preserve">1. Objet, et ce que cette note ne remplace pas</w:t>
      </w:r>
    </w:p>
    <w:p>
      <w:pPr>
        <w:spacing w:after="160"/>
      </w:pPr>
      <w:r>
        <w:rPr>
          <w:sz w:val="20"/>
          <w:szCs w:val="20"/>
        </w:rPr>
        <w:t xml:space="preserve">Le dossier de validation déclarait la tenue sous charge hors de son périmètre. La formule ajoutait que « les mesures de montée en charge existent mais relèvent de l'exploitation » : c'était faux, aucune mesure n'existait. Cette note remplace cette affirmation par des chiffres, obtenus par une campagne reproductible dont le script est livré avec le produit.</w:t>
      </w:r>
    </w:p>
    <w:p>
      <w:pPr>
        <w:spacing w:after="160"/>
      </w:pPr>
      <w:r>
        <w:rPr>
          <w:sz w:val="20"/>
          <w:szCs w:val="20"/>
        </w:rPr>
        <w:t xml:space="preserve">Ce n'est PAS votre qualification de performance. Les mesures ont été prises chez l'éditeur, sur une machine décrite en section 2, sans utilisateur simultané et sans réseau. Elles disent comment le logiciel se comporte quand le volume augmente ; elles ne disent pas comment il se comportera sur votre infrastructure. Votre PQ reste requise, et cette note lui donne un point de comparaison plutôt qu'une dispense.</w:t>
      </w:r>
    </w:p>
    <w:p>
      <w:pPr>
        <w:pStyle w:val="Heading1"/>
        <w:spacing w:after="140" w:before="320"/>
      </w:pPr>
      <w:r>
        <w:t xml:space="preserve">2. Méthode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2%"/>
            <w:shd w:fill="E0E7FF"/>
            <w:tcMar>
              <w:top w:type="dxa" w:w="80"/>
              <w:left w:type="dxa" w:w="110"/>
              <w:bottom w:type="dxa" w:w="80"/>
              <w:right w:type="dxa" w:w="110"/>
            </w:tcMar>
          </w:tcPr>
          <w:p>
            <w:pPr>
              <w:spacing w:after="0"/>
            </w:pPr>
            <w:r>
              <w:rPr>
                <w:b/>
                <w:bCs/>
                <w:sz w:val="17"/>
                <w:szCs w:val="17"/>
              </w:rPr>
              <w:t xml:space="preserve">Machine</w:t>
            </w:r>
          </w:p>
        </w:tc>
        <w:tc>
          <w:tcPr>
            <w:tcW w:type="pct" w:w="78%"/>
            <w:tcMar>
              <w:top w:type="dxa" w:w="80"/>
              <w:left w:type="dxa" w:w="110"/>
              <w:bottom w:type="dxa" w:w="80"/>
              <w:right w:type="dxa" w:w="110"/>
            </w:tcMar>
          </w:tcPr>
          <w:p>
            <w:pPr>
              <w:spacing w:after="0"/>
            </w:pPr>
            <w:r>
              <w:rPr>
                <w:sz w:val="17"/>
                <w:szCs w:val="17"/>
              </w:rPr>
              <w:t xml:space="preserve">AMD Ryzen 7 5800X 8-Core Processor · 32 Go de mémoire · Windows_NT 10.0.26200 (x64) · Node v24.18.0</w:t>
            </w:r>
          </w:p>
        </w:tc>
      </w:tr>
      <w:tr>
        <w:tc>
          <w:tcPr>
            <w:tcW w:type="pct" w:w="22%"/>
            <w:shd w:fill="E0E7FF"/>
            <w:tcMar>
              <w:top w:type="dxa" w:w="80"/>
              <w:left w:type="dxa" w:w="110"/>
              <w:bottom w:type="dxa" w:w="80"/>
              <w:right w:type="dxa" w:w="110"/>
            </w:tcMar>
          </w:tcPr>
          <w:p>
            <w:pPr>
              <w:spacing w:after="0"/>
            </w:pPr>
            <w:r>
              <w:rPr>
                <w:b/>
                <w:bCs/>
                <w:sz w:val="17"/>
                <w:szCs w:val="17"/>
              </w:rPr>
              <w:t xml:space="preserve">Base</w:t>
            </w:r>
          </w:p>
        </w:tc>
        <w:tc>
          <w:tcPr>
            <w:tcW w:type="pct" w:w="78%"/>
            <w:tcMar>
              <w:top w:type="dxa" w:w="80"/>
              <w:left w:type="dxa" w:w="110"/>
              <w:bottom w:type="dxa" w:w="80"/>
              <w:right w:type="dxa" w:w="110"/>
            </w:tcMar>
          </w:tcPr>
          <w:p>
            <w:pPr>
              <w:spacing w:after="0"/>
            </w:pPr>
            <w:r>
              <w:rPr>
                <w:sz w:val="17"/>
                <w:szCs w:val="17"/>
              </w:rPr>
              <w:t xml:space="preserve">SQLite, moteur livré avec le produit. Fichier jetable créé pour la campagne, détruit à la fin : ni la base de démonstration ni celle d'un client ne sont touchées.</w:t>
            </w:r>
          </w:p>
        </w:tc>
      </w:tr>
      <w:tr>
        <w:tc>
          <w:tcPr>
            <w:tcW w:type="pct" w:w="22%"/>
            <w:shd w:fill="E0E7FF"/>
            <w:tcMar>
              <w:top w:type="dxa" w:w="80"/>
              <w:left w:type="dxa" w:w="110"/>
              <w:bottom w:type="dxa" w:w="80"/>
              <w:right w:type="dxa" w:w="110"/>
            </w:tcMar>
          </w:tcPr>
          <w:p>
            <w:pPr>
              <w:spacing w:after="0"/>
            </w:pPr>
            <w:r>
              <w:rPr>
                <w:b/>
                <w:bCs/>
                <w:sz w:val="17"/>
                <w:szCs w:val="17"/>
              </w:rPr>
              <w:t xml:space="preserve">Échelles</w:t>
            </w:r>
          </w:p>
        </w:tc>
        <w:tc>
          <w:tcPr>
            <w:tcW w:type="pct" w:w="78%"/>
            <w:tcMar>
              <w:top w:type="dxa" w:w="80"/>
              <w:left w:type="dxa" w:w="110"/>
              <w:bottom w:type="dxa" w:w="80"/>
              <w:right w:type="dxa" w:w="110"/>
            </w:tcMar>
          </w:tcPr>
          <w:p>
            <w:pPr>
              <w:spacing w:after="0"/>
            </w:pPr>
            <w:r>
              <w:rPr>
                <w:sz w:val="17"/>
                <w:szCs w:val="17"/>
              </w:rPr>
              <w:t xml:space="preserve">Cumulatives : chaque palier ajoute au corpus du précédent, comme une installation qui vieillit. Repartir d'une base vide mesurerait des installations neuves, pas une montée en charge.</w:t>
            </w:r>
          </w:p>
        </w:tc>
      </w:tr>
      <w:tr>
        <w:tc>
          <w:tcPr>
            <w:tcW w:type="pct" w:w="22%"/>
            <w:shd w:fill="E0E7FF"/>
            <w:tcMar>
              <w:top w:type="dxa" w:w="80"/>
              <w:left w:type="dxa" w:w="110"/>
              <w:bottom w:type="dxa" w:w="80"/>
              <w:right w:type="dxa" w:w="110"/>
            </w:tcMar>
          </w:tcPr>
          <w:p>
            <w:pPr>
              <w:spacing w:after="0"/>
            </w:pPr>
            <w:r>
              <w:rPr>
                <w:b/>
                <w:bCs/>
                <w:sz w:val="17"/>
                <w:szCs w:val="17"/>
              </w:rPr>
              <w:t xml:space="preserve">Écritures</w:t>
            </w:r>
          </w:p>
        </w:tc>
        <w:tc>
          <w:tcPr>
            <w:tcW w:type="pct" w:w="78%"/>
            <w:tcMar>
              <w:top w:type="dxa" w:w="80"/>
              <w:left w:type="dxa" w:w="110"/>
              <w:bottom w:type="dxa" w:w="80"/>
              <w:right w:type="dxa" w:w="110"/>
            </w:tcMar>
          </w:tcPr>
          <w:p>
            <w:pPr>
              <w:spacing w:after="0"/>
            </w:pPr>
            <w:r>
              <w:rPr>
                <w:sz w:val="17"/>
                <w:szCs w:val="17"/>
              </w:rPr>
              <w:t xml:space="preserve">Les entrées d'audit passent par le point de passage unique de l'application, chaînage compris. Les écrire en masse aurait été plus rapide et aurait contourné le chaînage : le coût mesuré est le coût réel.</w:t>
            </w:r>
          </w:p>
        </w:tc>
      </w:tr>
      <w:tr>
        <w:tc>
          <w:tcPr>
            <w:tcW w:type="pct" w:w="22%"/>
            <w:shd w:fill="E0E7FF"/>
            <w:tcMar>
              <w:top w:type="dxa" w:w="80"/>
              <w:left w:type="dxa" w:w="110"/>
              <w:bottom w:type="dxa" w:w="80"/>
              <w:right w:type="dxa" w:w="110"/>
            </w:tcMar>
          </w:tcPr>
          <w:p>
            <w:pPr>
              <w:spacing w:after="0"/>
            </w:pPr>
            <w:r>
              <w:rPr>
                <w:b/>
                <w:bCs/>
                <w:sz w:val="17"/>
                <w:szCs w:val="17"/>
              </w:rPr>
              <w:t xml:space="preserve">Enregistrements gelés</w:t>
            </w:r>
          </w:p>
        </w:tc>
        <w:tc>
          <w:tcPr>
            <w:tcW w:type="pct" w:w="78%"/>
            <w:tcMar>
              <w:top w:type="dxa" w:w="80"/>
              <w:left w:type="dxa" w:w="110"/>
              <w:bottom w:type="dxa" w:w="80"/>
              <w:right w:type="dxa" w:w="110"/>
            </w:tcMar>
          </w:tcPr>
          <w:p>
            <w:pPr>
              <w:spacing w:after="0"/>
            </w:pPr>
            <w:r>
              <w:rPr>
                <w:sz w:val="17"/>
                <w:szCs w:val="17"/>
              </w:rPr>
              <w:t xml:space="preserve">Un cinquième des documents traverse le vrai gel de contenu, génération du .docx comprise. Sans cela, l'archive d'inspection ne relit aucun octet et son chiffre flatte le produit — la première campagne l'a montré en annonçant « 0 enregistrement ».</w:t>
            </w:r>
          </w:p>
        </w:tc>
      </w:tr>
      <w:tr>
        <w:tc>
          <w:tcPr>
            <w:tcW w:type="pct" w:w="22%"/>
            <w:shd w:fill="E0E7FF"/>
            <w:tcMar>
              <w:top w:type="dxa" w:w="80"/>
              <w:left w:type="dxa" w:w="110"/>
              <w:bottom w:type="dxa" w:w="80"/>
              <w:right w:type="dxa" w:w="110"/>
            </w:tcMar>
          </w:tcPr>
          <w:p>
            <w:pPr>
              <w:spacing w:after="0"/>
            </w:pPr>
            <w:r>
              <w:rPr>
                <w:b/>
                <w:bCs/>
                <w:sz w:val="17"/>
                <w:szCs w:val="17"/>
              </w:rPr>
              <w:t xml:space="preserve">Chronométrage</w:t>
            </w:r>
          </w:p>
        </w:tc>
        <w:tc>
          <w:tcPr>
            <w:tcW w:type="pct" w:w="78%"/>
            <w:tcMar>
              <w:top w:type="dxa" w:w="80"/>
              <w:left w:type="dxa" w:w="110"/>
              <w:bottom w:type="dxa" w:w="80"/>
              <w:right w:type="dxa" w:w="110"/>
            </w:tcMar>
          </w:tcPr>
          <w:p>
            <w:pPr>
              <w:spacing w:after="0"/>
            </w:pPr>
            <w:r>
              <w:rPr>
                <w:sz w:val="17"/>
                <w:szCs w:val="17"/>
              </w:rPr>
              <w:t xml:space="preserve">Rodage exclu, puis répétitions ; la MÉDIANE est publiée, et le maximum observé avec elle. Chaque mesure porte un témoin de ce qu'elle a produit : une opération qui ne renverrait plus rien s'exécuterait très vite, et une régression se lirait comme un gain.</w:t>
            </w:r>
          </w:p>
        </w:tc>
      </w:tr>
    </w:tbl>
    <w:p>
      <w:pPr>
        <w:pStyle w:val="Heading1"/>
        <w:spacing w:after="140" w:before="320"/>
      </w:pPr>
      <w:r>
        <w:t xml:space="preserve">3. Résultats</w:t>
      </w:r>
    </w:p>
    <w:p>
      <w:pPr>
        <w:spacing w:after="140"/>
      </w:pPr>
      <w:r>
        <w:rPr>
          <w:sz w:val="20"/>
          <w:szCs w:val="20"/>
        </w:rPr>
        <w:t xml:space="preserve">Médiane, et maximum observé entre parenthèses. Les volumes sont ceux effectivement présents en base au moment de la mesure.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pct" w:w="30%"/>
            <w:shd w:fill="E0E7FF"/>
            <w:tcMar>
              <w:top w:type="dxa" w:w="80"/>
              <w:left w:type="dxa" w:w="110"/>
              <w:bottom w:type="dxa" w:w="80"/>
              <w:right w:type="dxa" w:w="110"/>
            </w:tcMar>
          </w:tcPr>
          <w:p>
            <w:pPr>
              <w:spacing w:after="0"/>
            </w:pPr>
            <w:r>
              <w:rPr>
                <w:b/>
                <w:bCs/>
                <w:sz w:val="17"/>
                <w:szCs w:val="17"/>
              </w:rPr>
              <w:t xml:space="preserve">Opération</w:t>
            </w:r>
          </w:p>
        </w:tc>
        <w:tc>
          <w:tcPr>
            <w:tcW w:type="pct" w:w="26%"/>
            <w:shd w:fill="E0E7FF"/>
            <w:tcMar>
              <w:top w:type="dxa" w:w="80"/>
              <w:left w:type="dxa" w:w="110"/>
              <w:bottom w:type="dxa" w:w="80"/>
              <w:right w:type="dxa" w:w="110"/>
            </w:tcMar>
          </w:tcPr>
          <w:p>
            <w:pPr>
              <w:spacing w:after="0"/>
            </w:pPr>
            <w:r>
              <w:rPr>
                <w:b/>
                <w:bCs/>
                <w:sz w:val="17"/>
                <w:szCs w:val="17"/>
              </w:rPr>
              <w:t xml:space="preserve">Quand elle se produit</w:t>
            </w:r>
          </w:p>
        </w:tc>
        <w:tc>
          <w:tcPr>
            <w:tcW w:type="pct" w:w="14%"/>
            <w:shd w:fill="E0E7FF"/>
            <w:tcMar>
              <w:top w:type="dxa" w:w="80"/>
              <w:left w:type="dxa" w:w="110"/>
              <w:bottom w:type="dxa" w:w="80"/>
              <w:right w:type="dxa" w:w="110"/>
            </w:tcMar>
          </w:tcPr>
          <w:p>
            <w:pPr>
              <w:spacing w:after="0"/>
            </w:pPr>
            <w:r>
              <w:rPr>
                <w:b/>
                <w:bCs/>
                <w:sz w:val="17"/>
                <w:szCs w:val="17"/>
              </w:rPr>
              <w:t xml:space="preserve">A — 1 031 entrées</w:t>
            </w:r>
          </w:p>
        </w:tc>
        <w:tc>
          <w:tcPr>
            <w:tcW w:type="pct" w:w="14%"/>
            <w:shd w:fill="E0E7FF"/>
            <w:tcMar>
              <w:top w:type="dxa" w:w="80"/>
              <w:left w:type="dxa" w:w="110"/>
              <w:bottom w:type="dxa" w:w="80"/>
              <w:right w:type="dxa" w:w="110"/>
            </w:tcMar>
          </w:tcPr>
          <w:p>
            <w:pPr>
              <w:spacing w:after="0"/>
            </w:pPr>
            <w:r>
              <w:rPr>
                <w:b/>
                <w:bCs/>
                <w:sz w:val="17"/>
                <w:szCs w:val="17"/>
              </w:rPr>
              <w:t xml:space="preserve">B — 10 074 entrées</w:t>
            </w:r>
          </w:p>
        </w:tc>
        <w:tc>
          <w:tcPr>
            <w:tcW w:type="pct" w:w="14%"/>
            <w:shd w:fill="E0E7FF"/>
            <w:tcMar>
              <w:top w:type="dxa" w:w="80"/>
              <w:left w:type="dxa" w:w="110"/>
              <w:bottom w:type="dxa" w:w="80"/>
              <w:right w:type="dxa" w:w="110"/>
            </w:tcMar>
          </w:tcPr>
          <w:p>
            <w:pPr>
              <w:spacing w:after="0"/>
            </w:pPr>
            <w:r>
              <w:rPr>
                <w:b/>
                <w:bCs/>
                <w:sz w:val="17"/>
                <w:szCs w:val="17"/>
              </w:rPr>
              <w:t xml:space="preserve">C — 50 143 entrées</w:t>
            </w:r>
          </w:p>
        </w:tc>
      </w:tr>
      <w:tr>
        <w:tc>
          <w:tcPr>
            <w:tcW w:type="pct" w:w="30%"/>
            <w:tcMar>
              <w:top w:type="dxa" w:w="80"/>
              <w:left w:type="dxa" w:w="110"/>
              <w:bottom w:type="dxa" w:w="80"/>
              <w:right w:type="dxa" w:w="110"/>
            </w:tcMar>
          </w:tcPr>
          <w:p>
            <w:pPr>
              <w:spacing w:after="0"/>
            </w:pPr>
            <w:r>
              <w:rPr>
                <w:b/>
                <w:bCs/>
                <w:sz w:val="17"/>
                <w:szCs w:val="17"/>
              </w:rPr>
              <w:t xml:space="preserve">Vérification de la chaîne d'audit</w:t>
            </w:r>
          </w:p>
        </w:tc>
        <w:tc>
          <w:tcPr>
            <w:tcW w:type="pct" w:w="26%"/>
            <w:tcMar>
              <w:top w:type="dxa" w:w="80"/>
              <w:left w:type="dxa" w:w="110"/>
              <w:bottom w:type="dxa" w:w="80"/>
              <w:right w:type="dxa" w:w="110"/>
            </w:tcMar>
          </w:tcPr>
          <w:p>
            <w:pPr>
              <w:spacing w:after="0"/>
            </w:pPr>
            <w:r>
              <w:rPr>
                <w:color w:val="475569"/>
                <w:sz w:val="17"/>
                <w:szCs w:val="17"/>
              </w:rPr>
              <w:t xml:space="preserve">à chaque affichage de l'écran d'audit</w:t>
            </w:r>
          </w:p>
        </w:tc>
        <w:tc>
          <w:tcPr>
            <w:tcW w:type="pct" w:w="14%"/>
            <w:tcMar>
              <w:top w:type="dxa" w:w="80"/>
              <w:left w:type="dxa" w:w="110"/>
              <w:bottom w:type="dxa" w:w="80"/>
              <w:right w:type="dxa" w:w="110"/>
            </w:tcMar>
          </w:tcPr>
          <w:p>
            <w:pPr>
              <w:spacing w:after="0"/>
            </w:pPr>
            <w:r>
              <w:rPr>
                <w:sz w:val="17"/>
                <w:szCs w:val="17"/>
              </w:rPr>
              <w:t xml:space="preserve">15.7 ms  (17 ms)</w:t>
            </w:r>
          </w:p>
        </w:tc>
        <w:tc>
          <w:tcPr>
            <w:tcW w:type="pct" w:w="14%"/>
            <w:tcMar>
              <w:top w:type="dxa" w:w="80"/>
              <w:left w:type="dxa" w:w="110"/>
              <w:bottom w:type="dxa" w:w="80"/>
              <w:right w:type="dxa" w:w="110"/>
            </w:tcMar>
          </w:tcPr>
          <w:p>
            <w:pPr>
              <w:spacing w:after="0"/>
            </w:pPr>
            <w:r>
              <w:rPr>
                <w:sz w:val="17"/>
                <w:szCs w:val="17"/>
              </w:rPr>
              <w:t xml:space="preserve">144.2 ms  (160 ms)</w:t>
            </w:r>
          </w:p>
        </w:tc>
        <w:tc>
          <w:tcPr>
            <w:tcW w:type="pct" w:w="14%"/>
            <w:tcMar>
              <w:top w:type="dxa" w:w="80"/>
              <w:left w:type="dxa" w:w="110"/>
              <w:bottom w:type="dxa" w:w="80"/>
              <w:right w:type="dxa" w:w="110"/>
            </w:tcMar>
          </w:tcPr>
          <w:p>
            <w:pPr>
              <w:spacing w:after="0"/>
            </w:pPr>
            <w:r>
              <w:rPr>
                <w:sz w:val="17"/>
                <w:szCs w:val="17"/>
              </w:rPr>
              <w:t xml:space="preserve">749.9 ms  (780.1 ms)</w:t>
            </w:r>
          </w:p>
        </w:tc>
      </w:tr>
      <w:tr>
        <w:tc>
          <w:tcPr>
            <w:tcW w:type="pct" w:w="30%"/>
            <w:tcMar>
              <w:top w:type="dxa" w:w="80"/>
              <w:left w:type="dxa" w:w="110"/>
              <w:bottom w:type="dxa" w:w="80"/>
              <w:right w:type="dxa" w:w="110"/>
            </w:tcMar>
          </w:tcPr>
          <w:p>
            <w:pPr>
              <w:spacing w:after="0"/>
            </w:pPr>
            <w:r>
              <w:rPr>
                <w:b/>
                <w:bCs/>
                <w:sz w:val="17"/>
                <w:szCs w:val="17"/>
              </w:rPr>
              <w:t xml:space="preserve">Requête de l'écran d'audit</w:t>
            </w:r>
          </w:p>
        </w:tc>
        <w:tc>
          <w:tcPr>
            <w:tcW w:type="pct" w:w="26%"/>
            <w:tcMar>
              <w:top w:type="dxa" w:w="80"/>
              <w:left w:type="dxa" w:w="110"/>
              <w:bottom w:type="dxa" w:w="80"/>
              <w:right w:type="dxa" w:w="110"/>
            </w:tcMar>
          </w:tcPr>
          <w:p>
            <w:pPr>
              <w:spacing w:after="0"/>
            </w:pPr>
            <w:r>
              <w:rPr>
                <w:color w:val="475569"/>
                <w:sz w:val="17"/>
                <w:szCs w:val="17"/>
              </w:rPr>
              <w:t xml:space="preserve">200 dernières entrées + total</w:t>
            </w:r>
          </w:p>
        </w:tc>
        <w:tc>
          <w:tcPr>
            <w:tcW w:type="pct" w:w="14%"/>
            <w:tcMar>
              <w:top w:type="dxa" w:w="80"/>
              <w:left w:type="dxa" w:w="110"/>
              <w:bottom w:type="dxa" w:w="80"/>
              <w:right w:type="dxa" w:w="110"/>
            </w:tcMar>
          </w:tcPr>
          <w:p>
            <w:pPr>
              <w:spacing w:after="0"/>
            </w:pPr>
            <w:r>
              <w:rPr>
                <w:sz w:val="17"/>
                <w:szCs w:val="17"/>
              </w:rPr>
              <w:t xml:space="preserve">3.6 ms  (4.4 ms)</w:t>
            </w:r>
          </w:p>
        </w:tc>
        <w:tc>
          <w:tcPr>
            <w:tcW w:type="pct" w:w="14%"/>
            <w:tcMar>
              <w:top w:type="dxa" w:w="80"/>
              <w:left w:type="dxa" w:w="110"/>
              <w:bottom w:type="dxa" w:w="80"/>
              <w:right w:type="dxa" w:w="110"/>
            </w:tcMar>
          </w:tcPr>
          <w:p>
            <w:pPr>
              <w:spacing w:after="0"/>
            </w:pPr>
            <w:r>
              <w:rPr>
                <w:sz w:val="17"/>
                <w:szCs w:val="17"/>
              </w:rPr>
              <w:t xml:space="preserve">15.8 ms  (16.3 ms)</w:t>
            </w:r>
          </w:p>
        </w:tc>
        <w:tc>
          <w:tcPr>
            <w:tcW w:type="pct" w:w="14%"/>
            <w:tcMar>
              <w:top w:type="dxa" w:w="80"/>
              <w:left w:type="dxa" w:w="110"/>
              <w:bottom w:type="dxa" w:w="80"/>
              <w:right w:type="dxa" w:w="110"/>
            </w:tcMar>
          </w:tcPr>
          <w:p>
            <w:pPr>
              <w:spacing w:after="0"/>
            </w:pPr>
            <w:r>
              <w:rPr>
                <w:sz w:val="17"/>
                <w:szCs w:val="17"/>
              </w:rPr>
              <w:t xml:space="preserve">75.2 ms  (81 ms)</w:t>
            </w:r>
          </w:p>
        </w:tc>
      </w:tr>
      <w:tr>
        <w:tc>
          <w:tcPr>
            <w:tcW w:type="pct" w:w="30%"/>
            <w:tcMar>
              <w:top w:type="dxa" w:w="80"/>
              <w:left w:type="dxa" w:w="110"/>
              <w:bottom w:type="dxa" w:w="80"/>
              <w:right w:type="dxa" w:w="110"/>
            </w:tcMar>
          </w:tcPr>
          <w:p>
            <w:pPr>
              <w:spacing w:after="0"/>
            </w:pPr>
            <w:r>
              <w:rPr>
                <w:b/>
                <w:bCs/>
                <w:sz w:val="17"/>
                <w:szCs w:val="17"/>
              </w:rPr>
              <w:t xml:space="preserve">Matrice de traçabilité</w:t>
            </w:r>
          </w:p>
        </w:tc>
        <w:tc>
          <w:tcPr>
            <w:tcW w:type="pct" w:w="26%"/>
            <w:tcMar>
              <w:top w:type="dxa" w:w="80"/>
              <w:left w:type="dxa" w:w="110"/>
              <w:bottom w:type="dxa" w:w="80"/>
              <w:right w:type="dxa" w:w="110"/>
            </w:tcMar>
          </w:tcPr>
          <w:p>
            <w:pPr>
              <w:spacing w:after="0"/>
            </w:pPr>
            <w:r>
              <w:rPr>
                <w:color w:val="475569"/>
                <w:sz w:val="17"/>
                <w:szCs w:val="17"/>
              </w:rPr>
              <w:t xml:space="preserve">à l'affichage et à l'export CSV</w:t>
            </w:r>
          </w:p>
        </w:tc>
        <w:tc>
          <w:tcPr>
            <w:tcW w:type="pct" w:w="14%"/>
            <w:tcMar>
              <w:top w:type="dxa" w:w="80"/>
              <w:left w:type="dxa" w:w="110"/>
              <w:bottom w:type="dxa" w:w="80"/>
              <w:right w:type="dxa" w:w="110"/>
            </w:tcMar>
          </w:tcPr>
          <w:p>
            <w:pPr>
              <w:spacing w:after="0"/>
            </w:pPr>
            <w:r>
              <w:rPr>
                <w:sz w:val="17"/>
                <w:szCs w:val="17"/>
              </w:rPr>
              <w:t xml:space="preserve">3 ms  (3.3 ms)</w:t>
            </w:r>
          </w:p>
        </w:tc>
        <w:tc>
          <w:tcPr>
            <w:tcW w:type="pct" w:w="14%"/>
            <w:tcMar>
              <w:top w:type="dxa" w:w="80"/>
              <w:left w:type="dxa" w:w="110"/>
              <w:bottom w:type="dxa" w:w="80"/>
              <w:right w:type="dxa" w:w="110"/>
            </w:tcMar>
          </w:tcPr>
          <w:p>
            <w:pPr>
              <w:spacing w:after="0"/>
            </w:pPr>
            <w:r>
              <w:rPr>
                <w:sz w:val="17"/>
                <w:szCs w:val="17"/>
              </w:rPr>
              <w:t xml:space="preserve">8.3 ms  (8.6 ms)</w:t>
            </w:r>
          </w:p>
        </w:tc>
        <w:tc>
          <w:tcPr>
            <w:tcW w:type="pct" w:w="14%"/>
            <w:tcMar>
              <w:top w:type="dxa" w:w="80"/>
              <w:left w:type="dxa" w:w="110"/>
              <w:bottom w:type="dxa" w:w="80"/>
              <w:right w:type="dxa" w:w="110"/>
            </w:tcMar>
          </w:tcPr>
          <w:p>
            <w:pPr>
              <w:spacing w:after="0"/>
            </w:pPr>
            <w:r>
              <w:rPr>
                <w:sz w:val="17"/>
                <w:szCs w:val="17"/>
              </w:rPr>
              <w:t xml:space="preserve">21.8 ms  (22.9 ms)</w:t>
            </w:r>
          </w:p>
        </w:tc>
      </w:tr>
      <w:tr>
        <w:tc>
          <w:tcPr>
            <w:tcW w:type="pct" w:w="30%"/>
            <w:tcMar>
              <w:top w:type="dxa" w:w="80"/>
              <w:left w:type="dxa" w:w="110"/>
              <w:bottom w:type="dxa" w:w="80"/>
              <w:right w:type="dxa" w:w="110"/>
            </w:tcMar>
          </w:tcPr>
          <w:p>
            <w:pPr>
              <w:spacing w:after="0"/>
            </w:pPr>
            <w:r>
              <w:rPr>
                <w:b/>
                <w:bCs/>
                <w:sz w:val="17"/>
                <w:szCs w:val="17"/>
              </w:rPr>
              <w:t xml:space="preserve">Écriture d'une entrée d'audit</w:t>
            </w:r>
          </w:p>
        </w:tc>
        <w:tc>
          <w:tcPr>
            <w:tcW w:type="pct" w:w="26%"/>
            <w:tcMar>
              <w:top w:type="dxa" w:w="80"/>
              <w:left w:type="dxa" w:w="110"/>
              <w:bottom w:type="dxa" w:w="80"/>
              <w:right w:type="dxa" w:w="110"/>
            </w:tcMar>
          </w:tcPr>
          <w:p>
            <w:pPr>
              <w:spacing w:after="0"/>
            </w:pPr>
            <w:r>
              <w:rPr>
                <w:color w:val="475569"/>
                <w:sz w:val="17"/>
                <w:szCs w:val="17"/>
              </w:rPr>
              <w:t xml:space="preserve">à chaque action journalisée</w:t>
            </w:r>
          </w:p>
        </w:tc>
        <w:tc>
          <w:tcPr>
            <w:tcW w:type="pct" w:w="14%"/>
            <w:tcMar>
              <w:top w:type="dxa" w:w="80"/>
              <w:left w:type="dxa" w:w="110"/>
              <w:bottom w:type="dxa" w:w="80"/>
              <w:right w:type="dxa" w:w="110"/>
            </w:tcMar>
          </w:tcPr>
          <w:p>
            <w:pPr>
              <w:spacing w:after="0"/>
            </w:pPr>
            <w:r>
              <w:rPr>
                <w:sz w:val="17"/>
                <w:szCs w:val="17"/>
              </w:rPr>
              <w:t xml:space="preserve">2.3 ms  (2.6 ms)</w:t>
            </w:r>
          </w:p>
        </w:tc>
        <w:tc>
          <w:tcPr>
            <w:tcW w:type="pct" w:w="14%"/>
            <w:tcMar>
              <w:top w:type="dxa" w:w="80"/>
              <w:left w:type="dxa" w:w="110"/>
              <w:bottom w:type="dxa" w:w="80"/>
              <w:right w:type="dxa" w:w="110"/>
            </w:tcMar>
          </w:tcPr>
          <w:p>
            <w:pPr>
              <w:spacing w:after="0"/>
            </w:pPr>
            <w:r>
              <w:rPr>
                <w:sz w:val="17"/>
                <w:szCs w:val="17"/>
              </w:rPr>
              <w:t xml:space="preserve">2.1 ms  (2.6 ms)</w:t>
            </w:r>
          </w:p>
        </w:tc>
        <w:tc>
          <w:tcPr>
            <w:tcW w:type="pct" w:w="14%"/>
            <w:tcMar>
              <w:top w:type="dxa" w:w="80"/>
              <w:left w:type="dxa" w:w="110"/>
              <w:bottom w:type="dxa" w:w="80"/>
              <w:right w:type="dxa" w:w="110"/>
            </w:tcMar>
          </w:tcPr>
          <w:p>
            <w:pPr>
              <w:spacing w:after="0"/>
            </w:pPr>
            <w:r>
              <w:rPr>
                <w:sz w:val="17"/>
                <w:szCs w:val="17"/>
              </w:rPr>
              <w:t xml:space="preserve">2 ms  (2.5 ms)</w:t>
            </w:r>
          </w:p>
        </w:tc>
      </w:tr>
      <w:tr>
        <w:tc>
          <w:tcPr>
            <w:tcW w:type="pct" w:w="30%"/>
            <w:tcMar>
              <w:top w:type="dxa" w:w="80"/>
              <w:left w:type="dxa" w:w="110"/>
              <w:bottom w:type="dxa" w:w="80"/>
              <w:right w:type="dxa" w:w="110"/>
            </w:tcMar>
          </w:tcPr>
          <w:p>
            <w:pPr>
              <w:spacing w:after="0"/>
            </w:pPr>
            <w:r>
              <w:rPr>
                <w:b/>
                <w:bCs/>
                <w:sz w:val="17"/>
                <w:szCs w:val="17"/>
              </w:rPr>
              <w:t xml:space="preserve">Copie d'archivage PDF/A d'un enregistrement</w:t>
            </w:r>
          </w:p>
        </w:tc>
        <w:tc>
          <w:tcPr>
            <w:tcW w:type="pct" w:w="26%"/>
            <w:tcMar>
              <w:top w:type="dxa" w:w="80"/>
              <w:left w:type="dxa" w:w="110"/>
              <w:bottom w:type="dxa" w:w="80"/>
              <w:right w:type="dxa" w:w="110"/>
            </w:tcMar>
          </w:tcPr>
          <w:p>
            <w:pPr>
              <w:spacing w:after="0"/>
            </w:pPr>
            <w:r>
              <w:rPr>
                <w:color w:val="475569"/>
                <w:sz w:val="17"/>
                <w:szCs w:val="17"/>
              </w:rPr>
              <w:t xml:space="preserve">une par enregistrement figé, dans l'archive</w:t>
            </w:r>
          </w:p>
        </w:tc>
        <w:tc>
          <w:tcPr>
            <w:tcW w:type="pct" w:w="14%"/>
            <w:tcMar>
              <w:top w:type="dxa" w:w="80"/>
              <w:left w:type="dxa" w:w="110"/>
              <w:bottom w:type="dxa" w:w="80"/>
              <w:right w:type="dxa" w:w="110"/>
            </w:tcMar>
          </w:tcPr>
          <w:p>
            <w:pPr>
              <w:spacing w:after="0"/>
            </w:pPr>
            <w:r>
              <w:rPr>
                <w:sz w:val="17"/>
                <w:szCs w:val="17"/>
              </w:rPr>
              <w:t xml:space="preserve">3.5 ms  (3.9 ms)</w:t>
            </w:r>
          </w:p>
        </w:tc>
        <w:tc>
          <w:tcPr>
            <w:tcW w:type="pct" w:w="14%"/>
            <w:tcMar>
              <w:top w:type="dxa" w:w="80"/>
              <w:left w:type="dxa" w:w="110"/>
              <w:bottom w:type="dxa" w:w="80"/>
              <w:right w:type="dxa" w:w="110"/>
            </w:tcMar>
          </w:tcPr>
          <w:p>
            <w:pPr>
              <w:spacing w:after="0"/>
            </w:pPr>
            <w:r>
              <w:rPr>
                <w:sz w:val="17"/>
                <w:szCs w:val="17"/>
              </w:rPr>
              <w:t xml:space="preserve">3.4 ms  (3.9 ms)</w:t>
            </w:r>
          </w:p>
        </w:tc>
        <w:tc>
          <w:tcPr>
            <w:tcW w:type="pct" w:w="14%"/>
            <w:tcMar>
              <w:top w:type="dxa" w:w="80"/>
              <w:left w:type="dxa" w:w="110"/>
              <w:bottom w:type="dxa" w:w="80"/>
              <w:right w:type="dxa" w:w="110"/>
            </w:tcMar>
          </w:tcPr>
          <w:p>
            <w:pPr>
              <w:spacing w:after="0"/>
            </w:pPr>
            <w:r>
              <w:rPr>
                <w:sz w:val="17"/>
                <w:szCs w:val="17"/>
              </w:rPr>
              <w:t xml:space="preserve">3.2 ms  (3.8 ms)</w:t>
            </w:r>
          </w:p>
        </w:tc>
      </w:tr>
      <w:tr>
        <w:tc>
          <w:tcPr>
            <w:tcW w:type="pct" w:w="30%"/>
            <w:tcMar>
              <w:top w:type="dxa" w:w="80"/>
              <w:left w:type="dxa" w:w="110"/>
              <w:bottom w:type="dxa" w:w="80"/>
              <w:right w:type="dxa" w:w="110"/>
            </w:tcMar>
          </w:tcPr>
          <w:p>
            <w:pPr>
              <w:spacing w:after="0"/>
            </w:pPr>
            <w:r>
              <w:rPr>
                <w:b/>
                <w:bCs/>
                <w:sz w:val="17"/>
                <w:szCs w:val="17"/>
              </w:rPr>
              <w:t xml:space="preserve">Archive d'inspection complète</w:t>
            </w:r>
          </w:p>
        </w:tc>
        <w:tc>
          <w:tcPr>
            <w:tcW w:type="pct" w:w="26%"/>
            <w:tcMar>
              <w:top w:type="dxa" w:w="80"/>
              <w:left w:type="dxa" w:w="110"/>
              <w:bottom w:type="dxa" w:w="80"/>
              <w:right w:type="dxa" w:w="110"/>
            </w:tcMar>
          </w:tcPr>
          <w:p>
            <w:pPr>
              <w:spacing w:after="0"/>
            </w:pPr>
            <w:r>
              <w:rPr>
                <w:color w:val="475569"/>
                <w:sz w:val="17"/>
                <w:szCs w:val="17"/>
              </w:rPr>
              <w:t xml:space="preserve">à la demande, pour un auditeur</w:t>
            </w:r>
          </w:p>
        </w:tc>
        <w:tc>
          <w:tcPr>
            <w:tcW w:type="pct" w:w="14%"/>
            <w:tcMar>
              <w:top w:type="dxa" w:w="80"/>
              <w:left w:type="dxa" w:w="110"/>
              <w:bottom w:type="dxa" w:w="80"/>
              <w:right w:type="dxa" w:w="110"/>
            </w:tcMar>
          </w:tcPr>
          <w:p>
            <w:pPr>
              <w:spacing w:after="0"/>
            </w:pPr>
            <w:r>
              <w:rPr>
                <w:sz w:val="17"/>
                <w:szCs w:val="17"/>
              </w:rPr>
              <w:t xml:space="preserve">119.4 ms  (119.4 ms)</w:t>
            </w:r>
          </w:p>
        </w:tc>
        <w:tc>
          <w:tcPr>
            <w:tcW w:type="pct" w:w="14%"/>
            <w:tcMar>
              <w:top w:type="dxa" w:w="80"/>
              <w:left w:type="dxa" w:w="110"/>
              <w:bottom w:type="dxa" w:w="80"/>
              <w:right w:type="dxa" w:w="110"/>
            </w:tcMar>
          </w:tcPr>
          <w:p>
            <w:pPr>
              <w:spacing w:after="0"/>
            </w:pPr>
            <w:r>
              <w:rPr>
                <w:sz w:val="17"/>
                <w:szCs w:val="17"/>
              </w:rPr>
              <w:t xml:space="preserve">457.3 ms  (457.3 ms)</w:t>
            </w:r>
          </w:p>
        </w:tc>
        <w:tc>
          <w:tcPr>
            <w:tcW w:type="pct" w:w="14%"/>
            <w:tcMar>
              <w:top w:type="dxa" w:w="80"/>
              <w:left w:type="dxa" w:w="110"/>
              <w:bottom w:type="dxa" w:w="80"/>
              <w:right w:type="dxa" w:w="110"/>
            </w:tcMar>
          </w:tcPr>
          <w:p>
            <w:pPr>
              <w:spacing w:after="0"/>
            </w:pPr>
            <w:r>
              <w:rPr>
                <w:sz w:val="17"/>
                <w:szCs w:val="17"/>
              </w:rPr>
              <w:t xml:space="preserve">1.94 s  (1.94 s)</w:t>
            </w:r>
          </w:p>
        </w:tc>
      </w:tr>
    </w:tbl>
    <w:p>
      <w:pPr>
        <w:spacing w:after="160"/>
      </w:pPr>
      <w:r>
        <w:rPr>
          <w:color w:val="475569"/>
          <w:sz w:val="17"/>
          <w:szCs w:val="17"/>
        </w:rPr>
        <w:t xml:space="preserve">Ce que représente chaque échelle : A, un dossier de conception en cours de première année ; B, un programme mature, trois ans d'exploitation ; C, dix ans de rétention sur un programme dense.</w:t>
      </w:r>
    </w:p>
    <w:p>
      <w:pPr>
        <w:pStyle w:val="Heading1"/>
        <w:spacing w:after="140" w:before="320"/>
      </w:pPr>
      <w:r>
        <w:t xml:space="preserve">4. Ce que ces chiffres disent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pct" w:w="100%"/>
            <w:shd w:fill="FEF3C7"/>
            <w:tcMar>
              <w:top w:type="dxa" w:w="80"/>
              <w:left w:type="dxa" w:w="110"/>
              <w:bottom w:type="dxa" w:w="80"/>
              <w:right w:type="dxa" w:w="110"/>
            </w:tcMar>
          </w:tcPr>
          <w:p>
            <w:pPr>
              <w:spacing w:after="60"/>
            </w:pPr>
            <w:r>
              <w:rPr>
                <w:b/>
                <w:bCs/>
                <w:color w:val="92400E"/>
                <w:sz w:val="17"/>
                <w:szCs w:val="17"/>
              </w:rPr>
              <w:t xml:space="preserve">À retenir</w:t>
            </w:r>
          </w:p>
          <w:p>
            <w:pPr>
              <w:spacing w:after="0"/>
            </w:pPr>
            <w:r>
              <w:rPr>
                <w:sz w:val="17"/>
                <w:szCs w:val="17"/>
              </w:rPr>
              <w:t xml:space="preserve">La vérification de la chaîne de piste d'audit est LINÉAIRE, et l'écran d'audit la rejoue INTÉGRALEMENT à chaque affichage : 15.7 ms pour 1 031 entrées, 749.9 ms pour 50 143. Avec la requête d'affichage, la page coûte environ 825 ms au dernier palier. C'est le seul point qui se dégrade sensiblement, et c'est un choix : la chaîne est relue en entier pour que la bannière « chaîne intacte » porte sur toute la piste, pas sur sa fin.</w:t>
            </w:r>
          </w:p>
        </w:tc>
      </w:tr>
    </w:tbl>
    <w:p>
      <w:pPr>
        <w:spacing w:after="100"/>
      </w:pPr>
      <w:r>
        <w:rPr>
          <w:sz w:val="20"/>
          <w:szCs w:val="20"/>
        </w:rPr>
        <w:t xml:space="preserve"/>
      </w:r>
    </w:p>
    <w:p>
      <w:pPr>
        <w:spacing w:after="120"/>
      </w:pPr>
      <w:r>
        <w:rPr>
          <w:sz w:val="20"/>
          <w:szCs w:val="20"/>
        </w:rPr>
        <w:t xml:space="preserve">— L'ÉCRITURE NE SE DÉGRADE PAS. Ajouter une entrée à la piste coûte 2.3 ms sur une base neuve et 2 ms sur une piste de 50 143 entrées. Le chaînage lit la tête de chaîne, pas la chaîne : le coût est constant, quel que soit l'âge de l'installation.</w:t>
      </w:r>
    </w:p>
    <w:p>
      <w:pPr>
        <w:spacing w:after="120"/>
      </w:pPr>
      <w:r>
        <w:rPr>
          <w:sz w:val="20"/>
          <w:szCs w:val="20"/>
        </w:rPr>
        <w:t xml:space="preserve">— LA MATRICE DE TRAÇABILITÉ SUIT LE GRAPHE, pas la piste. Elle croît avec le nombre d'exigences, qui se compte en centaines et n'explose pas : c'est un dossier de conception, pas un journal.</w:t>
      </w:r>
    </w:p>
    <w:p>
      <w:pPr>
        <w:spacing w:after="120"/>
      </w:pPr>
      <w:r>
        <w:rPr>
          <w:sz w:val="20"/>
          <w:szCs w:val="20"/>
        </w:rPr>
        <w:t xml:space="preserve">— L'ARCHIVE D'INSPECTION est l'opération la plus coûteuse en valeur absolue (1.94 s au dernier palier), et c'est sans conséquence : elle est déclenchée à la demande, pour un auditeur, une fois par campagne d'inspection — pas à chaque clic.</w:t>
      </w:r>
    </w:p>
    <w:p>
      <w:pPr>
        <w:spacing w:after="120"/>
      </w:pPr>
      <w:r>
        <w:rPr>
          <w:sz w:val="20"/>
          <w:szCs w:val="20"/>
        </w:rPr>
        <w:t xml:space="preserve">— LA COPIE D'ARCHIVAGE PDF/A NE COÛTE PAS CE QU'ON CROIT. Elle est produite une fois par enregistrement figé, en 3.2 ms, et ce coût ne bouge pas avec le volume de la base : il dépend de la taille du document, pas de l'âge de l'installation. Sur 200 documents, elle n'a pas changé l'ordre de grandeur de l'archive — l'écart entre deux exécutions successives de l'archive est du même ordre que ce qu'elle ajoute.</w:t>
      </w:r>
    </w:p>
    <w:p>
      <w:pPr>
        <w:pStyle w:val="Heading1"/>
        <w:spacing w:after="140" w:before="320"/>
      </w:pPr>
      <w:r>
        <w:t xml:space="preserve">5. Limites d'exploitation déclarées</w:t>
      </w:r>
    </w:p>
    <w:p>
      <w:pPr>
        <w:spacing w:after="160"/>
      </w:pPr>
      <w:r>
        <w:rPr>
          <w:sz w:val="20"/>
          <w:szCs w:val="20"/>
        </w:rPr>
        <w:t xml:space="preserve">Le logiciel a été mesuré jusqu'à 50 143 entrées de piste d'audit, 800 exigences et 200 documents. Dans ce domaine, aucune opération n'a dépassé 1.94 s. Au-delà, le comportement n'est pas caractérisé : il est attendu linéaire pour la vérification de chaîne, mais l'attendu n'est pas une mesure.</w:t>
      </w:r>
    </w:p>
    <w:p>
      <w:pPr>
        <w:pStyle w:val="Heading1"/>
        <w:spacing w:after="140" w:before="320"/>
      </w:pPr>
      <w:r>
        <w:t xml:space="preserve">6. Ce qui n'est PAS mesuré</w:t>
      </w:r>
    </w:p>
    <w:p>
      <w:pPr>
        <w:spacing w:after="120"/>
      </w:pPr>
      <w:r>
        <w:rPr>
          <w:sz w:val="20"/>
          <w:szCs w:val="20"/>
        </w:rPr>
        <w:t xml:space="preserve">— LES UTILISATEURS SIMULTANÉS. Toutes les mesures sont séquentielles, un seul processus. SQLite n'admet qu'un écrivain à la fois : deux signatures apposées à la même seconde s'attendent. Ce comportement n'est pas caractérisé ici, et c'est la première chose à éprouver dans votre PQ si vous prévoyez plus d'une poignée d'utilisateurs actifs en même temps.</w:t>
      </w:r>
    </w:p>
    <w:p>
      <w:pPr>
        <w:spacing w:after="120"/>
      </w:pPr>
      <w:r>
        <w:rPr>
          <w:sz w:val="20"/>
          <w:szCs w:val="20"/>
        </w:rPr>
        <w:t xml:space="preserve">— LE RÉSEAU ET LE NAVIGATEUR. Les chiffres sont ceux du serveur. Le temps perçu par l'utilisateur y ajoute le transport et le rendu, qui dépendent de votre infrastructure et de son poste.</w:t>
      </w:r>
    </w:p>
    <w:p>
      <w:pPr>
        <w:spacing w:after="120"/>
      </w:pPr>
      <w:r>
        <w:rPr>
          <w:sz w:val="20"/>
          <w:szCs w:val="20"/>
        </w:rPr>
        <w:t xml:space="preserve">— UN AUTRE MOTEUR DE BASE. Les mesures portent sur SQLite, livré avec le produit. Un déploiement sur un autre moteur sortirait de ce domaine.</w:t>
      </w:r>
    </w:p>
    <w:p>
      <w:pPr>
        <w:spacing w:after="120"/>
      </w:pPr>
      <w:r>
        <w:rPr>
          <w:sz w:val="20"/>
          <w:szCs w:val="20"/>
        </w:rPr>
        <w:t xml:space="preserve">— LA TAILLE DES PIÈCES JOINTES. Les documents gelés de la campagne font quelques kilo-octets. Une installation qui conserve des jeux de données volumineux verra l'archive croître avec eux, proportionnellement aux octets relus.</w:t>
      </w:r>
    </w:p>
    <w:p>
      <w:pPr>
        <w:spacing w:after="200"/>
      </w:pPr>
      <w:r>
        <w:rPr>
          <w:i/>
          <w:iCs/>
          <w:color w:val="475569"/>
          <w:sz w:val="17"/>
          <w:szCs w:val="17"/>
        </w:rPr>
        <w:t xml:space="preserve">Reproduire la campagne chez vous : `npm run charge -- --complet` depuis les sources, ou demandez-nous de la rejouer sur la version que vous évaluez. Le script écrit son propre fichier de résultats, et cette note est régénérée à partir de lui — aucun chiffre n'y est saisi à la main.</w:t>
      </w:r>
    </w:p>
    <w:sectPr>
      <w:headerReference w:type="default" r:id="rId7"/>
      <w:footerReference w:type="default" r:id="rId8"/>
      <w:pgSz w:w="11906" w:h="16838" w:orient="portrait"/>
      <w:pgMar w:top="900" w:right="800" w:bottom="900" w:left="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75569"/>
        <w:sz w:val="15"/>
        <w:szCs w:val="15"/>
      </w:rPr>
      <w:t xml:space="preserve">Page </w:t>
    </w:r>
    <w:r>
      <w:rPr>
        <w:color w:val="475569"/>
        <w:sz w:val="15"/>
        <w:szCs w:val="15"/>
      </w:rPr>
      <w:fldChar w:fldCharType="begin"/>
      <w:instrText xml:space="preserve">PAGE</w:instrText>
      <w:fldChar w:fldCharType="separate"/>
      <w:fldChar w:fldCharType="end"/>
    </w:r>
    <w:r>
      <w:rPr>
        <w:color w:val="475569"/>
        <w:sz w:val="15"/>
        <w:szCs w:val="15"/>
      </w:rPr>
      <w:t xml:space="preserve"> sur </w:t>
    </w:r>
    <w:r>
      <w:rPr>
        <w:color w:val="475569"/>
        <w:sz w:val="15"/>
        <w:szCs w:val="15"/>
      </w:rPr>
      <w:fldChar w:fldCharType="begin"/>
      <w:instrText xml:space="preserve">NUMPAGES</w:instrText>
      <w:fldChar w:fldCharType="separate"/>
      <w:fldChar w:fldCharType="end"/>
    </w:r>
    <w:r>
      <w:rPr>
        <w:color w:val="475569"/>
        <w:sz w:val="15"/>
        <w:szCs w:val="15"/>
      </w:rPr>
      <w:t xml:space="preserve">   ·   Mesures du 2026-08-06, version 1.2.1. Régénéré depuis resultats-charge.json.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color w:val="475569"/>
        <w:sz w:val="15"/>
        <w:szCs w:val="15"/>
      </w:rPr>
      <w:t xml:space="preserve">Filum — Note de tenue sous charge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40" w:before="320"/>
    </w:pPr>
    <w:rPr>
      <w:rFonts w:ascii="Calibri" w:cs="Calibri" w:eastAsia="Calibri" w:hAnsi="Calibri"/>
      <w:b/>
      <w:bCs/>
      <w:color w:val="4338C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2026-10-01T11:27:29.039Z</dcterms:created>
  <dcterms:modified xsi:type="dcterms:W3CDTF">2026-10-01T11:27:29.039Z</dcterms:modified>
</cp:coreProperties>
</file>

<file path=docProps/custom.xml><?xml version="1.0" encoding="utf-8"?>
<Properties xmlns="http://schemas.openxmlformats.org/officeDocument/2006/custom-properties" xmlns:vt="http://schemas.openxmlformats.org/officeDocument/2006/docPropsVTypes"/>
</file>