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jc w:val="center"/>
      </w:pPr>
      <w:r>
        <w:rPr>
          <w:b/>
          <w:bCs/>
          <w:color w:val="4338CA"/>
          <w:sz w:val="44"/>
          <w:szCs w:val="44"/>
        </w:rPr>
        <w:t xml:space="preserve">Filum</w:t>
      </w:r>
    </w:p>
    <w:p>
      <w:pPr>
        <w:spacing w:after="60"/>
        <w:jc w:val="center"/>
      </w:pPr>
      <w:r>
        <w:rPr>
          <w:b/>
          <w:bCs/>
          <w:sz w:val="32"/>
          <w:szCs w:val="32"/>
        </w:rPr>
        <w:t xml:space="preserve">Ce que fait le logiciel, ce qu'il ne fait pas</w:t>
      </w:r>
    </w:p>
    <w:p>
      <w:pPr>
        <w:spacing w:after="400"/>
        <w:jc w:val="center"/>
      </w:pPr>
      <w:r>
        <w:rPr>
          <w:i/>
          <w:iCs/>
          <w:color w:val="475569"/>
          <w:sz w:val="22"/>
          <w:szCs w:val="22"/>
        </w:rPr>
        <w:t xml:space="preserve">À lire avant la démonstration — y compris pour conclure que ce n'est pas pour vous</w:t>
      </w:r>
    </w:p>
    <w:p>
      <w:pPr>
        <w:spacing w:after="200"/>
      </w:pPr>
      <w:r>
        <w:rPr>
          <w:sz w:val="20"/>
          <w:szCs w:val="20"/>
        </w:rPr>
        <w:t xml:space="preserve">Une démonstration faite à quelqu'un qui cherchait autre chose coûte deux heures aux deux parties et laisse un mauvais souvenir. Ce document existe pour l'éviter. Tout ce qui figure dans « ce qui est en place » se montre à l'écran en moins d'une minute ; tout ce qui figure dans « ce qui n'existe pas » est vrai au 1 octobre 2026, sans « bientôt » ni « à la feuille de route ».</w:t>
      </w:r>
    </w:p>
    <w:p>
      <w:pPr>
        <w:pStyle w:val="Heading1"/>
        <w:spacing w:after="140" w:before="320"/>
      </w:pPr>
      <w:r>
        <w:t xml:space="preserve">1. Filum en une phrase</w:t>
      </w:r>
    </w:p>
    <w:p>
      <w:pPr>
        <w:spacing w:after="180"/>
      </w:pPr>
      <w:r>
        <w:rPr>
          <w:b/>
          <w:bCs/>
          <w:sz w:val="20"/>
          <w:szCs w:val="20"/>
        </w:rPr>
        <w:t xml:space="preserve">Filum relie besoins, exigences, spécifications, essais, preuves et risques dans un graphe unique, et projette les documents réglementaires depuis ce graphe. Le document n'est pas la donnée : on saisit le lien une fois, et tout ce qui en dépend suit.</w:t>
      </w:r>
    </w:p>
    <w:p>
      <w:pPr>
        <w:pStyle w:val="Heading1"/>
        <w:spacing w:after="140" w:before="320"/>
      </w:pPr>
      <w:r>
        <w:t xml:space="preserve">2. Ce qui est en place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2%"/>
            <w:shd w:fill="E0E7FF"/>
            <w:tcMar>
              <w:top w:type="dxa" w:w="80"/>
              <w:left w:type="dxa" w:w="110"/>
              <w:bottom w:type="dxa" w:w="80"/>
              <w:right w:type="dxa" w:w="110"/>
            </w:tcMar>
          </w:tcPr>
          <w:p>
            <w:pPr>
              <w:spacing w:after="0"/>
            </w:pPr>
            <w:r>
              <w:rPr>
                <w:b/>
                <w:bCs/>
                <w:sz w:val="17"/>
                <w:szCs w:val="17"/>
              </w:rPr>
              <w:t xml:space="preserve">Domaine</w:t>
            </w:r>
          </w:p>
        </w:tc>
        <w:tc>
          <w:tcPr>
            <w:tcW w:type="pct" w:w="78%"/>
            <w:shd w:fill="E0E7FF"/>
            <w:tcMar>
              <w:top w:type="dxa" w:w="80"/>
              <w:left w:type="dxa" w:w="110"/>
              <w:bottom w:type="dxa" w:w="80"/>
              <w:right w:type="dxa" w:w="110"/>
            </w:tcMar>
          </w:tcPr>
          <w:p>
            <w:pPr>
              <w:spacing w:after="0"/>
            </w:pPr>
            <w:r>
              <w:rPr>
                <w:b/>
                <w:bCs/>
                <w:sz w:val="17"/>
                <w:szCs w:val="17"/>
              </w:rPr>
              <w:t xml:space="preserve">Ce que le logiciel fait aujourd'hui</w:t>
            </w:r>
          </w:p>
        </w:tc>
      </w:tr>
      <w:tr>
        <w:tc>
          <w:tcPr>
            <w:tcW w:type="pct" w:w="22%"/>
            <w:shd w:fill="F8FAFC"/>
            <w:tcMar>
              <w:top w:type="dxa" w:w="80"/>
              <w:left w:type="dxa" w:w="110"/>
              <w:bottom w:type="dxa" w:w="80"/>
              <w:right w:type="dxa" w:w="110"/>
            </w:tcMar>
          </w:tcPr>
          <w:p>
            <w:pPr>
              <w:spacing w:after="0"/>
            </w:pPr>
            <w:r>
              <w:rPr>
                <w:b/>
                <w:bCs/>
                <w:sz w:val="17"/>
                <w:szCs w:val="17"/>
              </w:rPr>
              <w:t xml:space="preserve">Traçabilité</w:t>
            </w:r>
          </w:p>
        </w:tc>
        <w:tc>
          <w:tcPr>
            <w:tcW w:type="pct" w:w="78%"/>
            <w:tcMar>
              <w:top w:type="dxa" w:w="80"/>
              <w:left w:type="dxa" w:w="110"/>
              <w:bottom w:type="dxa" w:w="80"/>
              <w:right w:type="dxa" w:w="110"/>
            </w:tcMar>
          </w:tcPr>
          <w:p>
            <w:pPr>
              <w:spacing w:after="0"/>
            </w:pPr>
            <w:r>
              <w:rPr>
                <w:sz w:val="17"/>
                <w:szCs w:val="17"/>
              </w:rPr>
              <w:t xml:space="preserve">Graphe bidirectionnel besoin → exigence → spécification → essai → preuve, avec le risque ISO 14971 en transverse. Hiérarchie d'exigences système → sous-système en relation N–M. Matrice de traçabilité générée et jamais périmée, exportable en CSV. Analyse d'impact amont et aval sur n'importe quel élément. Couverture de vérification recalculée en continu.</w:t>
            </w:r>
          </w:p>
        </w:tc>
      </w:tr>
      <w:tr>
        <w:tc>
          <w:tcPr>
            <w:tcW w:type="pct" w:w="22%"/>
            <w:shd w:fill="F8FAFC"/>
            <w:tcMar>
              <w:top w:type="dxa" w:w="80"/>
              <w:left w:type="dxa" w:w="110"/>
              <w:bottom w:type="dxa" w:w="80"/>
              <w:right w:type="dxa" w:w="110"/>
            </w:tcMar>
          </w:tcPr>
          <w:p>
            <w:pPr>
              <w:spacing w:after="0"/>
            </w:pPr>
            <w:r>
              <w:rPr>
                <w:b/>
                <w:bCs/>
                <w:sz w:val="17"/>
                <w:szCs w:val="17"/>
              </w:rPr>
              <w:t xml:space="preserve">Qualité d'énoncé</w:t>
            </w:r>
          </w:p>
        </w:tc>
        <w:tc>
          <w:tcPr>
            <w:tcW w:type="pct" w:w="78%"/>
            <w:tcMar>
              <w:top w:type="dxa" w:w="80"/>
              <w:left w:type="dxa" w:w="110"/>
              <w:bottom w:type="dxa" w:w="80"/>
              <w:right w:type="dxa" w:w="110"/>
            </w:tcMar>
          </w:tcPr>
          <w:p>
            <w:pPr>
              <w:spacing w:after="0"/>
            </w:pPr>
            <w:r>
              <w:rPr>
                <w:sz w:val="17"/>
                <w:szCs w:val="17"/>
              </w:rPr>
              <w:t xml:space="preserve">Onze contrôles s'exécutent sous le champ d'énoncé, à chaque frappe : verbe d'obligation absent ou affaibli, plusieurs exigences en une, terme non mesurable, clause échappatoire, liste ouverte, comparaison sans valeur, valeur sans tolérance, tournure passive sans acteur, exigence négative, énoncé trop long. Chaque constat CITE le fragment exact de votre phrase, dit pourquoi il pose problème et propose l'action. Le motif EARS est reconnu — permanent, événement, état, comportement indésirable, option de configuration — et les cinq gabarits sont dépliables avec un exemple. Tout cela tourne SANS clé d'API, sans réseau, à l'identique d'une machine à l'autre : c'est ce qui permet de le qualifier, et un cas de qualification l'éprouve sur onze énoncés fautifs et cinq énoncés corrects. Si votre organisation a configuré une clé Anthropic, une reformulation EARS peut être demandée en plus ; il est interdit au modèle d'inventer une valeur, une unité ou un composant absent de l'original — il laisse un emplacement à remplir. Rien n'est écrit à votre place, et aucun constat n'empêche d'enregistrer.</w:t>
            </w:r>
          </w:p>
        </w:tc>
      </w:tr>
      <w:tr>
        <w:tc>
          <w:tcPr>
            <w:tcW w:type="pct" w:w="22%"/>
            <w:shd w:fill="F8FAFC"/>
            <w:tcMar>
              <w:top w:type="dxa" w:w="80"/>
              <w:left w:type="dxa" w:w="110"/>
              <w:bottom w:type="dxa" w:w="80"/>
              <w:right w:type="dxa" w:w="110"/>
            </w:tcMar>
          </w:tcPr>
          <w:p>
            <w:pPr>
              <w:spacing w:after="0"/>
            </w:pPr>
            <w:r>
              <w:rPr>
                <w:b/>
                <w:bCs/>
                <w:sz w:val="17"/>
                <w:szCs w:val="17"/>
              </w:rPr>
              <w:t xml:space="preserve">Gestion documentaire</w:t>
            </w:r>
          </w:p>
        </w:tc>
        <w:tc>
          <w:tcPr>
            <w:tcW w:type="pct" w:w="78%"/>
            <w:tcMar>
              <w:top w:type="dxa" w:w="80"/>
              <w:left w:type="dxa" w:w="110"/>
              <w:bottom w:type="dxa" w:w="80"/>
              <w:right w:type="dxa" w:w="110"/>
            </w:tcMar>
          </w:tcPr>
          <w:p>
            <w:pPr>
              <w:spacing w:after="0"/>
            </w:pPr>
            <w:r>
              <w:rPr>
                <w:sz w:val="17"/>
                <w:szCs w:val="17"/>
              </w:rPr>
              <w:t xml:space="preserve">Cycle Brouillon → Revue → Publié appliqué côté serveur. Le contenu est GELÉ à la mise en revue, pas à la publication. Révisions avec justification obligatoire. Commentaires de revue bloquants tant qu'ils ne sont pas résolus. Documents générés en .docx : NDR, TSR, DHF, RMF, fiches NCR, rapports CAPA.</w:t>
            </w:r>
          </w:p>
        </w:tc>
      </w:tr>
      <w:tr>
        <w:tc>
          <w:tcPr>
            <w:tcW w:type="pct" w:w="22%"/>
            <w:shd w:fill="F8FAFC"/>
            <w:tcMar>
              <w:top w:type="dxa" w:w="80"/>
              <w:left w:type="dxa" w:w="110"/>
              <w:bottom w:type="dxa" w:w="80"/>
              <w:right w:type="dxa" w:w="110"/>
            </w:tcMar>
          </w:tcPr>
          <w:p>
            <w:pPr>
              <w:spacing w:after="0"/>
            </w:pPr>
            <w:r>
              <w:rPr>
                <w:b/>
                <w:bCs/>
                <w:sz w:val="17"/>
                <w:szCs w:val="17"/>
              </w:rPr>
              <w:t xml:space="preserve">Signature électronique</w:t>
            </w:r>
          </w:p>
        </w:tc>
        <w:tc>
          <w:tcPr>
            <w:tcW w:type="pct" w:w="78%"/>
            <w:tcMar>
              <w:top w:type="dxa" w:w="80"/>
              <w:left w:type="dxa" w:w="110"/>
              <w:bottom w:type="dxa" w:w="80"/>
              <w:right w:type="dxa" w:w="110"/>
            </w:tcMar>
          </w:tcPr>
          <w:p>
            <w:pPr>
              <w:spacing w:after="0"/>
            </w:pPr>
            <w:r>
              <w:rPr>
                <w:sz w:val="17"/>
                <w:szCs w:val="17"/>
              </w:rPr>
              <w:t xml:space="preserve">Deux composants exigés à CHAQUE signature (session authentifiée + re-saisie du mot de passe). Manifestation lisible portant le nom imprimé figé, la signification, l'horodatage UTC et l'empreinte du contenu attesté. Seul le signataire désigné peut signer. Verrouillage du compte après un nombre d'échecs configurable à l'installation, cinq par défaut.</w:t>
            </w:r>
          </w:p>
        </w:tc>
      </w:tr>
      <w:tr>
        <w:tc>
          <w:tcPr>
            <w:tcW w:type="pct" w:w="22%"/>
            <w:shd w:fill="F8FAFC"/>
            <w:tcMar>
              <w:top w:type="dxa" w:w="80"/>
              <w:left w:type="dxa" w:w="110"/>
              <w:bottom w:type="dxa" w:w="80"/>
              <w:right w:type="dxa" w:w="110"/>
            </w:tcMar>
          </w:tcPr>
          <w:p>
            <w:pPr>
              <w:spacing w:after="0"/>
            </w:pPr>
            <w:r>
              <w:rPr>
                <w:b/>
                <w:bCs/>
                <w:sz w:val="17"/>
                <w:szCs w:val="17"/>
              </w:rPr>
              <w:t xml:space="preserve">Risque ISO 14971</w:t>
            </w:r>
          </w:p>
        </w:tc>
        <w:tc>
          <w:tcPr>
            <w:tcW w:type="pct" w:w="78%"/>
            <w:tcMar>
              <w:top w:type="dxa" w:w="80"/>
              <w:left w:type="dxa" w:w="110"/>
              <w:bottom w:type="dxa" w:w="80"/>
              <w:right w:type="dxa" w:w="110"/>
            </w:tcMar>
          </w:tcPr>
          <w:p>
            <w:pPr>
              <w:spacing w:after="0"/>
            </w:pPr>
            <w:r>
              <w:rPr>
                <w:sz w:val="17"/>
                <w:szCs w:val="17"/>
              </w:rPr>
              <w:t xml:space="preserve">Registre FMEA (danger → situation dangereuse → dommage), matrice 5×5 avec zones Acceptable / ALARP / Inacceptable, risque initial face au résiduel, bibliothèque de dangers. Une maîtrise n'est « vérifiée » que si les spécifications et essais qui la portent sont clos favorablement — c'est le graphe qui le dit, pas une case à cocher.</w:t>
            </w:r>
          </w:p>
        </w:tc>
      </w:tr>
      <w:tr>
        <w:tc>
          <w:tcPr>
            <w:tcW w:type="pct" w:w="22%"/>
            <w:shd w:fill="F8FAFC"/>
            <w:tcMar>
              <w:top w:type="dxa" w:w="80"/>
              <w:left w:type="dxa" w:w="110"/>
              <w:bottom w:type="dxa" w:w="80"/>
              <w:right w:type="dxa" w:w="110"/>
            </w:tcMar>
          </w:tcPr>
          <w:p>
            <w:pPr>
              <w:spacing w:after="0"/>
            </w:pPr>
            <w:r>
              <w:rPr>
                <w:b/>
                <w:bCs/>
                <w:sz w:val="17"/>
                <w:szCs w:val="17"/>
              </w:rPr>
              <w:t xml:space="preserve">Validation de méthodes IVD</w:t>
            </w:r>
          </w:p>
        </w:tc>
        <w:tc>
          <w:tcPr>
            <w:tcW w:type="pct" w:w="78%"/>
            <w:tcMar>
              <w:top w:type="dxa" w:w="80"/>
              <w:left w:type="dxa" w:w="110"/>
              <w:bottom w:type="dxa" w:w="80"/>
              <w:right w:type="dxa" w:w="110"/>
            </w:tcMar>
          </w:tcPr>
          <w:p>
            <w:pPr>
              <w:spacing w:after="0"/>
            </w:pPr>
            <w:r>
              <w:rPr>
                <w:sz w:val="17"/>
                <w:szCs w:val="17"/>
              </w:rPr>
              <w:t xml:space="preserve">Six protocoles CLSI calculés en interne, sans tableur : EP05 précision (ANOVA emboîtée), EP06 linéarité, EP09 comparaison de méthodes (Passing-Bablok, Deming, Bland-Altman), EP17 LoB/LoD/LoQ, EP25 stabilité, EP26 lot-à-lot. Verdict conforme / non conforme sur critère défini a priori. Chaque étude verse sa preuve dans la matrice.</w:t>
            </w:r>
          </w:p>
        </w:tc>
      </w:tr>
      <w:tr>
        <w:tc>
          <w:tcPr>
            <w:tcW w:type="pct" w:w="22%"/>
            <w:shd w:fill="F8FAFC"/>
            <w:tcMar>
              <w:top w:type="dxa" w:w="80"/>
              <w:left w:type="dxa" w:w="110"/>
              <w:bottom w:type="dxa" w:w="80"/>
              <w:right w:type="dxa" w:w="110"/>
            </w:tcMar>
          </w:tcPr>
          <w:p>
            <w:pPr>
              <w:spacing w:after="0"/>
            </w:pPr>
            <w:r>
              <w:rPr>
                <w:b/>
                <w:bCs/>
                <w:sz w:val="17"/>
                <w:szCs w:val="17"/>
              </w:rPr>
              <w:t xml:space="preserve">Non-conformités et CAPA</w:t>
            </w:r>
          </w:p>
        </w:tc>
        <w:tc>
          <w:tcPr>
            <w:tcW w:type="pct" w:w="78%"/>
            <w:tcMar>
              <w:top w:type="dxa" w:w="80"/>
              <w:left w:type="dxa" w:w="110"/>
              <w:bottom w:type="dxa" w:w="80"/>
              <w:right w:type="dxa" w:w="110"/>
            </w:tcMar>
          </w:tcPr>
          <w:p>
            <w:pPr>
              <w:spacing w:after="0"/>
            </w:pPr>
            <w:r>
              <w:rPr>
                <w:sz w:val="17"/>
                <w:szCs w:val="17"/>
              </w:rPr>
              <w:t xml:space="preserve">Cycles de vie verrouillés côté serveur. Pas de plan d'actions sans cause racine ; pas de clôture de CAPA sans efficacité démontrée par un essai repassé favorable. À la clôture, la rétroaction est automatique : spécification NOK reverdie, non-conformités fermées, risque résiduel ré-évalué.</w:t>
            </w:r>
          </w:p>
        </w:tc>
      </w:tr>
      <w:tr>
        <w:tc>
          <w:tcPr>
            <w:tcW w:type="pct" w:w="22%"/>
            <w:shd w:fill="F8FAFC"/>
            <w:tcMar>
              <w:top w:type="dxa" w:w="80"/>
              <w:left w:type="dxa" w:w="110"/>
              <w:bottom w:type="dxa" w:w="80"/>
              <w:right w:type="dxa" w:w="110"/>
            </w:tcMar>
          </w:tcPr>
          <w:p>
            <w:pPr>
              <w:spacing w:after="0"/>
            </w:pPr>
            <w:r>
              <w:rPr>
                <w:b/>
                <w:bCs/>
                <w:sz w:val="17"/>
                <w:szCs w:val="17"/>
              </w:rPr>
              <w:t xml:space="preserve">Dossier technique</w:t>
            </w:r>
          </w:p>
        </w:tc>
        <w:tc>
          <w:tcPr>
            <w:tcW w:type="pct" w:w="78%"/>
            <w:tcMar>
              <w:top w:type="dxa" w:w="80"/>
              <w:left w:type="dxa" w:w="110"/>
              <w:bottom w:type="dxa" w:w="80"/>
              <w:right w:type="dxa" w:w="110"/>
            </w:tcMar>
          </w:tcPr>
          <w:p>
            <w:pPr>
              <w:spacing w:after="0"/>
            </w:pPr>
            <w:r>
              <w:rPr>
                <w:sz w:val="17"/>
                <w:szCs w:val="17"/>
              </w:rPr>
              <w:t xml:space="preserve">Un dossier technique par programme, en un téléchargement. Il indexe ce que Filum détient sur les 50 éléments du référentiel de diagnostic — le MÊME que celui de la trame remise en amont d'une mission — chacun rattaché à sa clause ISO 13485, à sa référence 21 CFR 820.30 et à sa section d'Annexe II. Chaque ligne dit ce qui est couvert, ce qui est partiel, ce qui manque, et ce qui doit venir de votre système qualité. AUCUN STATUT N'EST SAISI : ils se déduisent du graphe au moment de l'export, et changent quand le graphe change. Le paquet emporte les dossiers de conception compilés par activité, les enregistrements figés des documents publiés, la matrice de traçabilité et les empreintes de tous les fichiers. Il n'est PAS un dossier technique complet, et sa lettre d'accompagnement le dit : étiquetage, notice, spécifications de fabrication, transfert en production, évaluation clinique et surveillance après commercialisation n'existent pas dans un outil de conception — quinze des cinquante éléments sont donc nommés hors périmètre, avec la source dont ils doivent venir. Les taire produirait un index qui a l'air complet et un dossier qui ne l'est pas.</w:t>
            </w:r>
          </w:p>
        </w:tc>
      </w:tr>
      <w:tr>
        <w:tc>
          <w:tcPr>
            <w:tcW w:type="pct" w:w="22%"/>
            <w:shd w:fill="F8FAFC"/>
            <w:tcMar>
              <w:top w:type="dxa" w:w="80"/>
              <w:left w:type="dxa" w:w="110"/>
              <w:bottom w:type="dxa" w:w="80"/>
              <w:right w:type="dxa" w:w="110"/>
            </w:tcMar>
          </w:tcPr>
          <w:p>
            <w:pPr>
              <w:spacing w:after="0"/>
            </w:pPr>
            <w:r>
              <w:rPr>
                <w:b/>
                <w:bCs/>
                <w:sz w:val="17"/>
                <w:szCs w:val="17"/>
              </w:rPr>
              <w:t xml:space="preserve">Conformité du logiciel</w:t>
            </w:r>
          </w:p>
        </w:tc>
        <w:tc>
          <w:tcPr>
            <w:tcW w:type="pct" w:w="78%"/>
            <w:tcMar>
              <w:top w:type="dxa" w:w="80"/>
              <w:left w:type="dxa" w:w="110"/>
              <w:bottom w:type="dxa" w:w="80"/>
              <w:right w:type="dxa" w:w="110"/>
            </w:tcMar>
          </w:tcPr>
          <w:p>
            <w:pPr>
              <w:spacing w:after="0"/>
            </w:pPr>
            <w:r>
              <w:rPr>
                <w:sz w:val="17"/>
                <w:szCs w:val="17"/>
              </w:rPr>
              <w:t xml:space="preserve">Copie d'archivage PDF/A-2b de chaque enregistrement figé dans l'archive d'inspection — police et profil colorimétrique embarqués, elle se lit sans outil bureautique et porte les empreintes du .docx qui fait foi. Piste d'audit en ajout seul, CHAÎNÉE et BILINGUE : chaque entrée porte l'empreinte de la précédente — la vérification nomme le rang d'une rupture — ainsi que la clé de son message, si bien qu'elle se relit en français ou en anglais sans jamais être réécrite. La piste est en outre REVUE périodiquement, et la revue est un enregistrement signé : chaque revue couvre une plage de RANGS — jamais de dates — et commence exactement au rang qui suit la précédente, si bien qu'aucune entrée ne peut s'écrire dans l'intervalle entre deux revues ; l'écart entre le dernier rang couvert et la tête de piste est affiché en permanence, et toute lacune de couverture est calculée. Archive d'inspection vérifiable hors Filum. Ancre d'archive contresignable par l'autorité d'horodatage RFC 3161 de votre choix. Durée de rétention déclarée, conservation légale bloquant les suppressions. Réinitialisation par jeton : personne ne pose le mot de passe d'un autre.</w:t>
            </w:r>
          </w:p>
        </w:tc>
      </w:tr>
      <w:tr>
        <w:tc>
          <w:tcPr>
            <w:tcW w:type="pct" w:w="22%"/>
            <w:shd w:fill="F8FAFC"/>
            <w:tcMar>
              <w:top w:type="dxa" w:w="80"/>
              <w:left w:type="dxa" w:w="110"/>
              <w:bottom w:type="dxa" w:w="80"/>
              <w:right w:type="dxa" w:w="110"/>
            </w:tcMar>
          </w:tcPr>
          <w:p>
            <w:pPr>
              <w:spacing w:after="0"/>
            </w:pPr>
            <w:r>
              <w:rPr>
                <w:b/>
                <w:bCs/>
                <w:sz w:val="17"/>
                <w:szCs w:val="17"/>
              </w:rPr>
              <w:t xml:space="preserve">Reprise de vos données</w:t>
            </w:r>
          </w:p>
        </w:tc>
        <w:tc>
          <w:tcPr>
            <w:tcW w:type="pct" w:w="78%"/>
            <w:tcMar>
              <w:top w:type="dxa" w:w="80"/>
              <w:left w:type="dxa" w:w="110"/>
              <w:bottom w:type="dxa" w:w="80"/>
              <w:right w:type="dxa" w:w="110"/>
            </w:tcMar>
          </w:tcPr>
          <w:p>
            <w:pPr>
              <w:spacing w:after="0"/>
            </w:pPr>
            <w:r>
              <w:rPr>
                <w:sz w:val="17"/>
                <w:szCs w:val="17"/>
              </w:rPr>
              <w:t xml:space="preserve">Déposez un classeur .xlsx ou un document .docx TELS QUELS : Filum y trouve les tableaux, vous choisissez lequel reprendre, puis vous dites quelle colonne correspond à quoi. Vos intitulés restent les vôtres — « Req ID », « Crit. », « Descriptif fonctionnel » — la reconnaissance automatique propose ce qu'elle sait, vous assignez le reste, et rien ne se devine en silence. Les cellules vides gardent leur position : une justification ne peut pas glisser dans la colonne du sous-système. Les valeurs sont ramenées au vocabulaire de Filum quelle que soit la langue du fichier — « Haute » devient « High » — et une valeur inconnue est signalée plutôt que stockée. L'import CSV à modèle fixe reste disponible pour cinq types : besoins, exigences, spécifications, risques, protocoles. Les liens se résolvent par VOS codes, la hiérarchie d'exigences comprise (cycles détectés). Aperçu à blanc obligatoire avant toute écriture : ce qui serait créé, mis à jour, rejeté — et pourquoi, ligne par ligne.</w:t>
            </w:r>
          </w:p>
        </w:tc>
      </w:tr>
      <w:tr>
        <w:tc>
          <w:tcPr>
            <w:tcW w:type="pct" w:w="22%"/>
            <w:shd w:fill="F8FAFC"/>
            <w:tcMar>
              <w:top w:type="dxa" w:w="80"/>
              <w:left w:type="dxa" w:w="110"/>
              <w:bottom w:type="dxa" w:w="80"/>
              <w:right w:type="dxa" w:w="110"/>
            </w:tcMar>
          </w:tcPr>
          <w:p>
            <w:pPr>
              <w:spacing w:after="0"/>
            </w:pPr>
            <w:r>
              <w:rPr>
                <w:b/>
                <w:bCs/>
                <w:sz w:val="17"/>
                <w:szCs w:val="17"/>
              </w:rPr>
              <w:t xml:space="preserve">Exploitation</w:t>
            </w:r>
          </w:p>
        </w:tc>
        <w:tc>
          <w:tcPr>
            <w:tcW w:type="pct" w:w="78%"/>
            <w:tcMar>
              <w:top w:type="dxa" w:w="80"/>
              <w:left w:type="dxa" w:w="110"/>
              <w:bottom w:type="dxa" w:w="80"/>
              <w:right w:type="dxa" w:w="110"/>
            </w:tcMar>
          </w:tcPr>
          <w:p>
            <w:pPr>
              <w:spacing w:after="0"/>
            </w:pPr>
            <w:r>
              <w:rPr>
                <w:sz w:val="17"/>
                <w:szCs w:val="17"/>
              </w:rPr>
              <w:t xml:space="preserve">Image Docker auto-hébergée, base de données en fichier unique, volume de fichiers séparé. Interface français / anglais. Quatre rôles appliqués côté serveur. Assistant de pré-rédaction avec VOTRE clé Anthropic, sous quatre garde-fous. Pack de validation remis : protocole IQ, dossier de validation, cas de qualification rejouables. La base est en journalisation WAL : la lecture ne bloque plus l'écriture, et la réplication continue devient possible. La sauvegarde à froid reste la référence — elle arrête le service et copie les deux volumes au même instant, donc elle est cohérente par construction. Une option de réplication continue de la base est DOCUMENTÉE, avec la règle qui la rend sûre : elle ne réplique que la base, et les enregistrements figés vivent dans le second volume ; comme celui-ci est en AJOUT SEUL, il suffit de restaurer les fichiers à un instant égal ou postérieur à la base — des fichiers en avance ne sont que des orphelins. Une commande relit chaque pièce référencée par la base et distingue une pièce absente d'une pièce altérée, les deux ne se réparant pas de la même façon.</w:t>
            </w:r>
          </w:p>
        </w:tc>
      </w:tr>
    </w:tbl>
    <w:p>
      <w:pPr>
        <w:pStyle w:val="Heading1"/>
        <w:spacing w:after="140" w:before="320"/>
      </w:pPr>
      <w:r>
        <w:t xml:space="preserve">3. Ce qui n'existe pas</w:t>
      </w:r>
    </w:p>
    <w:p>
      <w:pPr>
        <w:spacing w:after="160"/>
      </w:pPr>
      <w:r>
        <w:rPr>
          <w:color w:val="475569"/>
          <w:sz w:val="20"/>
          <w:szCs w:val="20"/>
        </w:rPr>
        <w:t xml:space="preserve">Aucune de ces lignes n'est assortie d'une échéance de livraison — nous ne vendons pas ce qui n'existe pas. Si l'une d'elles est un besoin ferme chez vous, dites-le : c'est une raison légitime de ne pas donner suite, et il vaut mieux le savoir maintenant.</w:t>
      </w:r>
    </w:p>
    <w:p>
      <w:pPr>
        <w:spacing w:after="40"/>
      </w:pPr>
      <w:r>
        <w:rPr>
          <w:b/>
          <w:bCs/>
          <w:color w:val="B91C1C"/>
          <w:sz w:val="20"/>
          <w:szCs w:val="20"/>
        </w:rPr>
        <w:t xml:space="preserve">Ce n'est pas un eQMS</w:t>
      </w:r>
    </w:p>
    <w:p>
      <w:pPr>
        <w:spacing w:after="150"/>
      </w:pPr>
      <w:r>
        <w:rPr>
          <w:sz w:val="20"/>
          <w:szCs w:val="20"/>
        </w:rPr>
        <w:t xml:space="preserve">Ni gestion de la formation, ni qualification des fournisseurs, ni traitement des réclamations ou de la vigilance, ni audits internes, ni revue de direction.
NUANCE SUR LES PROCÉDURES, parce que « ni » serait faux : une procédure vit dans Filum comme document contrôlé. Le cycle Brouillon → Revue → Publié, le gel du contenu à la mise en revue, la signature à deux composants, la révision avec justification, la piste d'audit et la copie d'archivage PDF/A ne dépendent pas du type de document. S'y ajoutent une DATE D'ENTRÉE EN VIGUEUR distincte de l'approbation — approuver et rendre applicable sont deux actes, et le second attend souvent que les gens soient formés — et une REVUE PÉRIODIQUE : périodicité déclarée, échéance calculée à chaque publication, revue consignée avec sa conclusion et son auteur, retard inscrit dans la piste. L'échéance se voit sur le document et sur le tableau de bord ; elle ne DÉCLENCHE aucun rappel, Filum n'ayant aucun canal sortant.
S'y ajoutent la DIFFUSION CONTRÔLÉE et l'ACCUSÉ DE LECTURE : une liste de destinataires par révision, l'état de qui a lu et qui reste, et un accusé que chacun pose POUR LUI-MÊME — jamais pour un autre. Une lecture vaut pour une révision et ne survit pas à la suivante : publier une nouvelle révision remet chacun en attente sans effacer ce qui avait été lu de la précédente. Là encore, rien n'est ENVOYÉ — ni courriel, ni rappel, ni relance : le destinataire voit sur son tableau de bord ce qu'il lui reste à lire.
UN ACCUSÉ DE LECTURE N'EST PAS UN ENREGISTREMENT DE FORMATION, et la distinction n'est pas une coquetterie : avoir lu une procédure n'établit pas qu'on sait l'appliquer. Filum ne tient ni plan de formation, ni matrice de compétences, ni habilitation à un poste, ni évaluation de l'efficacité de la formation — c'est-à-dire l'essentiel de ce que demande l'ISO 13485 §6.2. Une non-conformité peut DÉCLARER venir d'une réclamation, d'un audit ou d'un fournisseur : Filum enregistre la référence, il ne gère pas la source. Filum couvre la maîtrise de la conception, pas le système qualité entier.</w:t>
      </w:r>
    </w:p>
    <w:p>
      <w:pPr>
        <w:spacing w:after="40"/>
      </w:pPr>
      <w:r>
        <w:rPr>
          <w:b/>
          <w:bCs/>
          <w:color w:val="B91C1C"/>
          <w:sz w:val="20"/>
          <w:szCs w:val="20"/>
        </w:rPr>
        <w:t xml:space="preserve">Pas de gestion de configuration</w:t>
      </w:r>
    </w:p>
    <w:p>
      <w:pPr>
        <w:spacing w:after="150"/>
      </w:pPr>
      <w:r>
        <w:rPr>
          <w:sz w:val="20"/>
          <w:szCs w:val="20"/>
        </w:rPr>
        <w:t xml:space="preserve">Ni ligne de base, ni article de configuration, ni comparaison entre deux états figés d'un dossier. « ECR » existe comme type de document, pas comme processus outillé de maîtrise des modifications.</w:t>
      </w:r>
    </w:p>
    <w:p>
      <w:pPr>
        <w:spacing w:after="40"/>
      </w:pPr>
      <w:r>
        <w:rPr>
          <w:b/>
          <w:bCs/>
          <w:color w:val="B91C1C"/>
          <w:sz w:val="20"/>
          <w:szCs w:val="20"/>
        </w:rPr>
        <w:t xml:space="preserve">IEC 62304 à l'état d'ébauche</w:t>
      </w:r>
    </w:p>
    <w:p>
      <w:pPr>
        <w:spacing w:after="150"/>
      </w:pPr>
      <w:r>
        <w:rPr>
          <w:sz w:val="20"/>
          <w:szCs w:val="20"/>
        </w:rPr>
        <w:t xml:space="preserve">On déclare un logiciel, sa classe A/B/C et ses versions, et on rattache des essais à une version. C'est tout. Pas de cycle de vie logiciel outillé, pas de suivi d'anomalies, pas de gestion des SOUP, pas de niveaux d'essai unitaire / intégration / système. Si votre dispositif est d'abord un logiciel, Filum n'est pas encore votre outil.</w:t>
      </w:r>
    </w:p>
    <w:p>
      <w:pPr>
        <w:spacing w:after="40"/>
      </w:pPr>
      <w:r>
        <w:rPr>
          <w:b/>
          <w:bCs/>
          <w:color w:val="B91C1C"/>
          <w:sz w:val="20"/>
          <w:szCs w:val="20"/>
        </w:rPr>
        <w:t xml:space="preserve">Aucun canal sortant</w:t>
      </w:r>
    </w:p>
    <w:p>
      <w:pPr>
        <w:spacing w:after="150"/>
      </w:pPr>
      <w:r>
        <w:rPr>
          <w:sz w:val="20"/>
          <w:szCs w:val="20"/>
        </w:rPr>
        <w:t xml:space="preserve">Filum n'envoie pas de courriel. Donc : pas de notification, pas de rappel d'échéance, pas de relance d'approbateur, pas de lien de réinitialisation envoyé par messagerie. C'est un choix, pas un oubli — voir la section « Trois choix assumés ».</w:t>
      </w:r>
    </w:p>
    <w:p>
      <w:pPr>
        <w:spacing w:after="40"/>
      </w:pPr>
      <w:r>
        <w:rPr>
          <w:b/>
          <w:bCs/>
          <w:color w:val="B91C1C"/>
          <w:sz w:val="20"/>
          <w:szCs w:val="20"/>
        </w:rPr>
        <w:t xml:space="preserve">Pas d'intégration à votre système d'information</w:t>
      </w:r>
    </w:p>
    <w:p>
      <w:pPr>
        <w:spacing w:after="150"/>
      </w:pPr>
      <w:r>
        <w:rPr>
          <w:sz w:val="20"/>
          <w:szCs w:val="20"/>
        </w:rPr>
        <w:t xml:space="preserve">Pas de webhook, pas de connecteur PLM, ERP ou ALM, pas de ReqIF. Il existe une API de LECTURE SEULE, authentifiée par jeton, pour extraire programmes, exigences et traçabilité — elle sort des données, elle n'en fait pas entrer et ne se connecte à rien. La reprise de données se fait par fichiers CSV, ou en déposant un classeur .xlsx ou un document .docx (voir « Reprise de vos données »).
ET FILUM N'EST PAS UN ERP. Un ERP gère les achats, les stocks, l'ordonnancement de production, les lots fabriqués, la facturation et la comptabilité. Filum gère le DOSSIER DE CONCEPTION — ce qui précède la production, pas ce qui la pilote. Les deux se côtoient dans une entreprise de dispositifs médicaux ; ils ne se remplacent sur aucun point, et Filum ne contribue à aucune fonction d'ERP.</w:t>
      </w:r>
    </w:p>
    <w:p>
      <w:pPr>
        <w:spacing w:after="40"/>
      </w:pPr>
      <w:r>
        <w:rPr>
          <w:b/>
          <w:bCs/>
          <w:color w:val="B91C1C"/>
          <w:sz w:val="20"/>
          <w:szCs w:val="20"/>
        </w:rPr>
        <w:t xml:space="preserve">Une installation, une organisation</w:t>
      </w:r>
    </w:p>
    <w:p>
      <w:pPr>
        <w:spacing w:after="150"/>
      </w:pPr>
      <w:r>
        <w:rPr>
          <w:sz w:val="20"/>
          <w:szCs w:val="20"/>
        </w:rPr>
        <w:t xml:space="preserve">Filum n'est pas multi-locataire : il n'existe aucun cloisonnement par client à l'intérieur d'une même base. L'isolement se fait par instance. C'est plus simple à défendre en audit, et cela veut dire une installation par entité.</w:t>
      </w:r>
    </w:p>
    <w:p>
      <w:pPr>
        <w:spacing w:after="40"/>
      </w:pPr>
      <w:r>
        <w:rPr>
          <w:b/>
          <w:bCs/>
          <w:color w:val="B91C1C"/>
          <w:sz w:val="20"/>
          <w:szCs w:val="20"/>
        </w:rPr>
        <w:t xml:space="preserve">On ne signe que ce que Filum produit</w:t>
      </w:r>
    </w:p>
    <w:p>
      <w:pPr>
        <w:spacing w:after="150"/>
      </w:pPr>
      <w:r>
        <w:rPr>
          <w:sz w:val="20"/>
          <w:szCs w:val="20"/>
        </w:rPr>
        <w:t xml:space="preserve">La signature électronique porte sur les enregistrements générés par le logiciel. Filum ne fait pas signer un PDF déposé, ni un fichier venu d'ailleurs.</w:t>
      </w:r>
    </w:p>
    <w:p>
      <w:pPr>
        <w:spacing w:after="40"/>
      </w:pPr>
      <w:r>
        <w:rPr>
          <w:b/>
          <w:bCs/>
          <w:color w:val="B91C1C"/>
          <w:sz w:val="20"/>
          <w:szCs w:val="20"/>
        </w:rPr>
        <w:t xml:space="preserve">Les entrées d'audit déjà écrites ne se retraduisent pas</w:t>
      </w:r>
    </w:p>
    <w:p>
      <w:pPr>
        <w:spacing w:after="150"/>
      </w:pPr>
      <w:r>
        <w:rPr>
          <w:sz w:val="20"/>
          <w:szCs w:val="20"/>
        </w:rPr>
        <w:t xml:space="preserve">La piste d'audit se lit désormais en français ou en anglais, à l'écran, à l'export et dans l'archive d'inspection : chaque entrée porte la clé de son message et ses arguments, et le texte se fabrique à la lecture. Deux exceptions, assumées. Les entrées inscrites AVANT cette version n'ont que leur texte d'origine, en français : on ne réécrit pas un enregistrement, et le chaînage romprait si on le faisait — l'écran les signale au lecteur. Les deux outils de console serveur (amorçage du premier administrateur, réinitialisation d'urgence) écrivent également en français : ils tournent hors de l'application, où le catalogue de messages n'existe pas.</w:t>
      </w:r>
    </w:p>
    <w:p>
      <w:pPr>
        <w:spacing w:after="40"/>
      </w:pPr>
      <w:r>
        <w:rPr>
          <w:b/>
          <w:bCs/>
          <w:color w:val="B91C1C"/>
          <w:sz w:val="20"/>
          <w:szCs w:val="20"/>
        </w:rPr>
        <w:t xml:space="preserve">Les utilisateurs simultanés ne sont pas qualifiés</w:t>
      </w:r>
    </w:p>
    <w:p>
      <w:pPr>
        <w:spacing w:after="150"/>
      </w:pPr>
      <w:r>
        <w:rPr>
          <w:sz w:val="20"/>
          <w:szCs w:val="20"/>
        </w:rPr>
        <w:t xml:space="preserve">Une campagne de charge mesurée accompagne le produit : elle caractérise le comportement jusqu'à cinquante mille entrées de piste d'audit, et nomme ce qui se dégrade — la vérification de la chaîne d'audit, relue en entier à chaque affichage de l'écran. Ce qu'elle ne mesure pas est dit aussi clairement : les utilisateurs SIMULTANÉS. Le moteur de base livré n'admet qu'un écrivain à la fois ; deux signatures apposées à la même seconde s'attendent. Si vous prévoyez plus d'une poignée d'utilisateurs actifs en même temps, c'est la première chose à éprouver dans votre qualification de performance.</w:t>
      </w:r>
    </w:p>
    <w:p>
      <w:pPr>
        <w:spacing w:after="40"/>
      </w:pPr>
      <w:r>
        <w:rPr>
          <w:b/>
          <w:bCs/>
          <w:color w:val="B91C1C"/>
          <w:sz w:val="20"/>
          <w:szCs w:val="20"/>
        </w:rPr>
        <w:t xml:space="preserve">Ni application mobile, ni mode hors ligne</w:t>
      </w:r>
    </w:p>
    <w:p>
      <w:pPr>
        <w:spacing w:after="150"/>
      </w:pPr>
      <w:r>
        <w:rPr>
          <w:sz w:val="20"/>
          <w:szCs w:val="20"/>
        </w:rPr>
        <w:t xml:space="preserve">Filum est une application web servie par votre serveur. L'interface s'utilise sur un écran d'ordinateur ; il n'existe ni application native, ni fonctionnement déconnecté.</w:t>
      </w:r>
    </w:p>
    <w:p>
      <w:pPr>
        <w:pStyle w:val="Heading1"/>
        <w:spacing w:after="140" w:before="320"/>
      </w:pPr>
      <w:r>
        <w:t xml:space="preserve">4. Ce qui reste à votre charge</w:t>
      </w:r>
    </w:p>
    <w:p>
      <w:pPr>
        <w:spacing w:after="140"/>
      </w:pPr>
      <w:r>
        <w:rPr>
          <w:sz w:val="20"/>
          <w:szCs w:val="20"/>
        </w:rPr>
        <w:t xml:space="preserve">Un logiciel ne rend personne conforme. Ces points relèvent de votre organisation, et aucun éditeur ne peut les reprendre à son compte.</w:t>
      </w:r>
    </w:p>
    <w:p>
      <w:pPr>
        <w:pStyle w:val="ListParagraph"/>
        <w:numPr>
          <w:ilvl w:val="0"/>
          <w:numId w:val="1"/>
        </w:numPr>
        <w:spacing w:after="70"/>
      </w:pPr>
      <w:r>
        <w:rPr>
          <w:sz w:val="20"/>
          <w:szCs w:val="20"/>
        </w:rPr>
        <w:t xml:space="preserve">La certification du 21 CFR §11.100(c), s'il y a lieu : elle engage l'entité juridique dont les collaborateurs signent, par lettre à signature manuscrite adressée à la FDA. Aucun éditeur ne peut la porter à votre place.</w:t>
      </w:r>
    </w:p>
    <w:p>
      <w:pPr>
        <w:pStyle w:val="ListParagraph"/>
        <w:numPr>
          <w:ilvl w:val="0"/>
          <w:numId w:val="1"/>
        </w:numPr>
        <w:spacing w:after="70"/>
      </w:pPr>
      <w:r>
        <w:rPr>
          <w:sz w:val="20"/>
          <w:szCs w:val="20"/>
        </w:rPr>
        <w:t xml:space="preserve">La qualification d'installation, opérationnelle et de performance dans VOTRE environnement, la décision de criticité du système et votre politique de revalidation après mise à jour. Le pack livré alimente vos protocoles ; il ne les remplace pas.</w:t>
      </w:r>
    </w:p>
    <w:p>
      <w:pPr>
        <w:pStyle w:val="ListParagraph"/>
        <w:numPr>
          <w:ilvl w:val="0"/>
          <w:numId w:val="1"/>
        </w:numPr>
        <w:spacing w:after="70"/>
      </w:pPr>
      <w:r>
        <w:rPr>
          <w:sz w:val="20"/>
          <w:szCs w:val="20"/>
        </w:rPr>
        <w:t xml:space="preserve">La FRÉQUENCE de revue de la piste d'audit, et le JUGEMENT porté à chaque revue. Filum calcule la couverture, désigne ce qui mérite d'être lu, exige un verdict motivé sur chaque entrée retenue et signe la clôture — mais il ne sait pas distinguer une modification légitime d'une modification suspecte, et il n'impose aucune période : la bonne dépend de votre volume d'activité et de la criticité du système. L'indépendance du relecteur est mesurée et consignée sur chaque revue, jamais imposée — à votre système qualité de dire si elle suffit.</w:t>
      </w:r>
    </w:p>
    <w:p>
      <w:pPr>
        <w:pStyle w:val="ListParagraph"/>
        <w:numPr>
          <w:ilvl w:val="0"/>
          <w:numId w:val="1"/>
        </w:numPr>
        <w:spacing w:after="70"/>
      </w:pPr>
      <w:r>
        <w:rPr>
          <w:sz w:val="20"/>
          <w:szCs w:val="20"/>
        </w:rPr>
        <w:t xml:space="preserve">Les sauvegardes — base ET volume de fichiers ensemble — et la restriction de l'accès direct à la base. Les contrôles du logiciel s'appliquent aux écritures faites PAR l'application ; un accès direct au fichier de base écrit hors de ces contrôles.</w:t>
      </w:r>
    </w:p>
    <w:p>
      <w:pPr>
        <w:pStyle w:val="ListParagraph"/>
        <w:numPr>
          <w:ilvl w:val="0"/>
          <w:numId w:val="1"/>
        </w:numPr>
        <w:spacing w:after="70"/>
      </w:pPr>
      <w:r>
        <w:rPr>
          <w:sz w:val="20"/>
          <w:szCs w:val="20"/>
        </w:rPr>
        <w:t xml:space="preserve">La déclaration de votre durée de conservation et de ce qui la fonde, le choix éventuel d'une autorité d'horodatage, et la production des archives d'inspection aux moments que prescrit votre procédure.</w:t>
      </w:r>
    </w:p>
    <w:p>
      <w:pPr>
        <w:pStyle w:val="ListParagraph"/>
        <w:numPr>
          <w:ilvl w:val="0"/>
          <w:numId w:val="1"/>
        </w:numPr>
        <w:spacing w:after="70"/>
      </w:pPr>
      <w:r>
        <w:rPr>
          <w:sz w:val="20"/>
          <w:szCs w:val="20"/>
        </w:rPr>
        <w:t xml:space="preserve">Le canal de remise des jetons de réinitialisation, et la consigne donnée aux utilisateurs de signaler un jeton refusé comme « déjà utilisé ».</w:t>
      </w:r>
    </w:p>
    <w:p>
      <w:pPr>
        <w:pStyle w:val="Heading1"/>
        <w:spacing w:after="140" w:before="320"/>
      </w:pPr>
      <w:r>
        <w:t xml:space="preserve">5. Trois choix assumés, et leur contrepartie</w:t>
      </w:r>
    </w:p>
    <w:p>
      <w:pPr>
        <w:spacing w:after="140"/>
      </w:pPr>
      <w:r>
        <w:rPr>
          <w:sz w:val="20"/>
          <w:szCs w:val="20"/>
        </w:rPr>
        <w:t xml:space="preserve">Ces trois décisions expliquent une bonne partie de ce que Filum ne fait pas. Elles sont défendables ; elles ne sont pas gratuites.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E0E7FF"/>
            <w:tcMar>
              <w:top w:type="dxa" w:w="80"/>
              <w:left w:type="dxa" w:w="110"/>
              <w:bottom w:type="dxa" w:w="80"/>
              <w:right w:type="dxa" w:w="110"/>
            </w:tcMar>
          </w:tcPr>
          <w:p>
            <w:pPr>
              <w:spacing w:after="0"/>
            </w:pPr>
            <w:r>
              <w:rPr>
                <w:b/>
                <w:bCs/>
                <w:sz w:val="17"/>
                <w:szCs w:val="17"/>
              </w:rPr>
              <w:t xml:space="preserve">Le choix</w:t>
            </w:r>
          </w:p>
        </w:tc>
        <w:tc>
          <w:tcPr>
            <w:tcW w:type="pct" w:w="50%"/>
            <w:shd w:fill="E0E7FF"/>
            <w:tcMar>
              <w:top w:type="dxa" w:w="80"/>
              <w:left w:type="dxa" w:w="110"/>
              <w:bottom w:type="dxa" w:w="80"/>
              <w:right w:type="dxa" w:w="110"/>
            </w:tcMar>
          </w:tcPr>
          <w:p>
            <w:pPr>
              <w:spacing w:after="0"/>
            </w:pPr>
            <w:r>
              <w:rPr>
                <w:b/>
                <w:bCs/>
                <w:sz w:val="17"/>
                <w:szCs w:val="17"/>
              </w:rPr>
              <w:t xml:space="preserve">Ce qu'il vous coûte</w:t>
            </w:r>
          </w:p>
        </w:tc>
      </w:tr>
      <w:tr>
        <w:tc>
          <w:tcPr>
            <w:tcW w:type="pct" w:w="50%"/>
            <w:tcMar>
              <w:top w:type="dxa" w:w="80"/>
              <w:left w:type="dxa" w:w="110"/>
              <w:bottom w:type="dxa" w:w="80"/>
              <w:right w:type="dxa" w:w="110"/>
            </w:tcMar>
          </w:tcPr>
          <w:p>
            <w:pPr>
              <w:spacing w:after="0"/>
            </w:pPr>
            <w:r>
              <w:rPr>
                <w:color w:val="047857"/>
                <w:sz w:val="17"/>
                <w:szCs w:val="17"/>
              </w:rPr>
              <w:t xml:space="preserve">Aucun canal sortant. Rien ne quitte votre infrastructure : ni courriel, ni télémétrie, ni remontée d'incident chez l'éditeur.</w:t>
            </w:r>
          </w:p>
        </w:tc>
        <w:tc>
          <w:tcPr>
            <w:tcW w:type="pct" w:w="50%"/>
            <w:tcMar>
              <w:top w:type="dxa" w:w="80"/>
              <w:left w:type="dxa" w:w="110"/>
              <w:bottom w:type="dxa" w:w="80"/>
              <w:right w:type="dxa" w:w="110"/>
            </w:tcMar>
          </w:tcPr>
          <w:p>
            <w:pPr>
              <w:spacing w:after="0"/>
            </w:pPr>
            <w:r>
              <w:rPr>
                <w:color w:val="B45309"/>
                <w:sz w:val="17"/>
                <w:szCs w:val="17"/>
              </w:rPr>
              <w:t xml:space="preserve">En échange, aucune notification ni relance automatique, et un jeton de réinitialisation se remet de la main à la main.</w:t>
            </w:r>
          </w:p>
        </w:tc>
      </w:tr>
      <w:tr>
        <w:tc>
          <w:tcPr>
            <w:tcW w:type="pct" w:w="50%"/>
            <w:tcMar>
              <w:top w:type="dxa" w:w="80"/>
              <w:left w:type="dxa" w:w="110"/>
              <w:bottom w:type="dxa" w:w="80"/>
              <w:right w:type="dxa" w:w="110"/>
            </w:tcMar>
          </w:tcPr>
          <w:p>
            <w:pPr>
              <w:spacing w:after="0"/>
            </w:pPr>
            <w:r>
              <w:rPr>
                <w:color w:val="047857"/>
                <w:sz w:val="17"/>
                <w:szCs w:val="17"/>
              </w:rPr>
              <w:t xml:space="preserve">Le graphe est la source, le document est une projection. La donnée n'est saisie qu'une fois et le dossier ne peut pas contredire les données qui le composent.</w:t>
            </w:r>
          </w:p>
        </w:tc>
        <w:tc>
          <w:tcPr>
            <w:tcW w:type="pct" w:w="50%"/>
            <w:tcMar>
              <w:top w:type="dxa" w:w="80"/>
              <w:left w:type="dxa" w:w="110"/>
              <w:bottom w:type="dxa" w:w="80"/>
              <w:right w:type="dxa" w:w="110"/>
            </w:tcMar>
          </w:tcPr>
          <w:p>
            <w:pPr>
              <w:spacing w:after="0"/>
            </w:pPr>
            <w:r>
              <w:rPr>
                <w:color w:val="B45309"/>
                <w:sz w:val="17"/>
                <w:szCs w:val="17"/>
              </w:rPr>
              <w:t xml:space="preserve">En échange, il faut accepter que « le document approuvé » soit un instantané figé conservé octet pour octet — et non un fichier qu'on rouvre et retouche.</w:t>
            </w:r>
          </w:p>
        </w:tc>
      </w:tr>
      <w:tr>
        <w:tc>
          <w:tcPr>
            <w:tcW w:type="pct" w:w="50%"/>
            <w:tcMar>
              <w:top w:type="dxa" w:w="80"/>
              <w:left w:type="dxa" w:w="110"/>
              <w:bottom w:type="dxa" w:w="80"/>
              <w:right w:type="dxa" w:w="110"/>
            </w:tcMar>
          </w:tcPr>
          <w:p>
            <w:pPr>
              <w:spacing w:after="0"/>
            </w:pPr>
            <w:r>
              <w:rPr>
                <w:color w:val="047857"/>
                <w:sz w:val="17"/>
                <w:szCs w:val="17"/>
              </w:rPr>
              <w:t xml:space="preserve">L'assistant IA fonctionne avec VOTRE clé Anthropic. L'appel part de votre serveur, sous votre propre contrat : aucune donnée de conception ne transite par l'éditeur.</w:t>
            </w:r>
          </w:p>
        </w:tc>
        <w:tc>
          <w:tcPr>
            <w:tcW w:type="pct" w:w="50%"/>
            <w:tcMar>
              <w:top w:type="dxa" w:w="80"/>
              <w:left w:type="dxa" w:w="110"/>
              <w:bottom w:type="dxa" w:w="80"/>
              <w:right w:type="dxa" w:w="110"/>
            </w:tcMar>
          </w:tcPr>
          <w:p>
            <w:pPr>
              <w:spacing w:after="0"/>
            </w:pPr>
            <w:r>
              <w:rPr>
                <w:color w:val="B45309"/>
                <w:sz w:val="17"/>
                <w:szCs w:val="17"/>
              </w:rPr>
              <w:t xml:space="preserve">En échange, il vous faut ce contrat. Sans clé, l'assistant est simplement absent — le reste du logiciel fonctionne à l'identique.</w:t>
            </w:r>
          </w:p>
        </w:tc>
      </w:tr>
    </w:tbl>
    <w:p>
      <w:pPr>
        <w:pStyle w:val="Heading1"/>
        <w:spacing w:after="140" w:before="320"/>
      </w:pPr>
      <w:r>
        <w:t xml:space="preserve">6. Savoir en cinq minutes si c'est pour vous</w:t>
      </w:r>
    </w:p>
    <w:p>
      <w:pPr>
        <w:spacing w:after="90"/>
      </w:pPr>
      <w:r>
        <w:rPr>
          <w:b/>
          <w:bCs/>
          <w:color w:val="047857"/>
          <w:sz w:val="20"/>
          <w:szCs w:val="20"/>
        </w:rPr>
        <w:t xml:space="preserve">Filum vous conviendra probablement si :</w:t>
      </w:r>
    </w:p>
    <w:p>
      <w:pPr>
        <w:pStyle w:val="ListParagraph"/>
        <w:numPr>
          <w:ilvl w:val="0"/>
          <w:numId w:val="1"/>
        </w:numPr>
        <w:spacing w:after="70"/>
      </w:pPr>
      <w:r>
        <w:rPr>
          <w:sz w:val="20"/>
          <w:szCs w:val="20"/>
        </w:rPr>
        <w:t xml:space="preserve">Vous concevez des dispositifs médicaux ou des DIV, et votre traçabilité vit aujourd'hui dans des classeurs Excel et des documents Word ressaisis.</w:t>
      </w:r>
    </w:p>
    <w:p>
      <w:pPr>
        <w:pStyle w:val="ListParagraph"/>
        <w:numPr>
          <w:ilvl w:val="0"/>
          <w:numId w:val="1"/>
        </w:numPr>
        <w:spacing w:after="70"/>
      </w:pPr>
      <w:r>
        <w:rPr>
          <w:sz w:val="20"/>
          <w:szCs w:val="20"/>
        </w:rPr>
        <w:t xml:space="preserve">Vos essais produisent des données chiffrées que quelqu'un retraite à la main pour en tirer un verdict.</w:t>
      </w:r>
    </w:p>
    <w:p>
      <w:pPr>
        <w:pStyle w:val="ListParagraph"/>
        <w:numPr>
          <w:ilvl w:val="0"/>
          <w:numId w:val="1"/>
        </w:numPr>
        <w:spacing w:after="70"/>
      </w:pPr>
      <w:r>
        <w:rPr>
          <w:sz w:val="20"/>
          <w:szCs w:val="20"/>
        </w:rPr>
        <w:t xml:space="preserve">On vous demande de démontrer la maîtrise de la conception — matrice de traçabilité, DHF, gestion des risques — et l'assemblage du dossier vous coûte des semaines.</w:t>
      </w:r>
    </w:p>
    <w:p>
      <w:pPr>
        <w:pStyle w:val="ListParagraph"/>
        <w:numPr>
          <w:ilvl w:val="0"/>
          <w:numId w:val="1"/>
        </w:numPr>
        <w:spacing w:after="70"/>
      </w:pPr>
      <w:r>
        <w:rPr>
          <w:sz w:val="20"/>
          <w:szCs w:val="20"/>
        </w:rPr>
        <w:t xml:space="preserve">Vous êtes une équipe de 5 à 100 personnes, et les plateformes en place vous paraissent surdimensionnées ou hors budget.</w:t>
      </w:r>
    </w:p>
    <w:p>
      <w:pPr>
        <w:spacing w:after="90"/>
      </w:pPr>
      <w:r>
        <w:rPr>
          <w:b/>
          <w:bCs/>
          <w:color w:val="B91C1C"/>
          <w:sz w:val="20"/>
          <w:szCs w:val="20"/>
        </w:rPr>
        <w:t xml:space="preserve">Filum ne vous conviendra probablement pas si :</w:t>
      </w:r>
    </w:p>
    <w:p>
      <w:pPr>
        <w:pStyle w:val="ListParagraph"/>
        <w:numPr>
          <w:ilvl w:val="0"/>
          <w:numId w:val="1"/>
        </w:numPr>
        <w:spacing w:after="70"/>
      </w:pPr>
      <w:r>
        <w:rPr>
          <w:sz w:val="20"/>
          <w:szCs w:val="20"/>
        </w:rPr>
        <w:t xml:space="preserve">Vous cherchez un système qualité complet — formation, fournisseurs, réclamations, audits internes. Filum n'en couvre aucun.</w:t>
      </w:r>
    </w:p>
    <w:p>
      <w:pPr>
        <w:pStyle w:val="ListParagraph"/>
        <w:numPr>
          <w:ilvl w:val="0"/>
          <w:numId w:val="1"/>
        </w:numPr>
        <w:spacing w:after="70"/>
      </w:pPr>
      <w:r>
        <w:rPr>
          <w:sz w:val="20"/>
          <w:szCs w:val="20"/>
        </w:rPr>
        <w:t xml:space="preserve">Votre dispositif est d'abord un logiciel et vous attendez une chaîne IEC 62304 outillée. Elle n'existe pas encore.</w:t>
      </w:r>
    </w:p>
    <w:p>
      <w:pPr>
        <w:pStyle w:val="ListParagraph"/>
        <w:numPr>
          <w:ilvl w:val="0"/>
          <w:numId w:val="1"/>
        </w:numPr>
        <w:spacing w:after="70"/>
      </w:pPr>
      <w:r>
        <w:rPr>
          <w:sz w:val="20"/>
          <w:szCs w:val="20"/>
        </w:rPr>
        <w:t xml:space="preserve">Vous avez besoin que l'outil s'intègre à un PLM, un ERP ou un ALM existant. Il n'y a ni API publique ni connecteur.</w:t>
      </w:r>
    </w:p>
    <w:p>
      <w:pPr>
        <w:pStyle w:val="ListParagraph"/>
        <w:numPr>
          <w:ilvl w:val="0"/>
          <w:numId w:val="1"/>
        </w:numPr>
        <w:spacing w:after="70"/>
      </w:pPr>
      <w:r>
        <w:rPr>
          <w:sz w:val="20"/>
          <w:szCs w:val="20"/>
        </w:rPr>
        <w:t xml:space="preserve">Vous voulez un SaaS multi-locataire administré par l'éditeur. Filum s'installe chez vous, une instance par organisation.</w:t>
      </w:r>
    </w:p>
    <w:p>
      <w:pPr>
        <w:pStyle w:val="ListParagraph"/>
        <w:numPr>
          <w:ilvl w:val="0"/>
          <w:numId w:val="1"/>
        </w:numPr>
        <w:spacing w:after="70"/>
      </w:pPr>
      <w:r>
        <w:rPr>
          <w:sz w:val="20"/>
          <w:szCs w:val="20"/>
        </w:rPr>
        <w:t xml:space="preserve">Votre organisation attend d'un fournisseur qu'il se déclare « conforme 21 CFR Part 11 ». Nous ne l'écrirons pas, parce que c'est faux pour tout éditeur.</w:t>
      </w:r>
    </w:p>
    <w:p>
      <w:pPr>
        <w:pStyle w:val="Heading1"/>
        <w:spacing w:after="140" w:before="320"/>
      </w:pPr>
      <w:r>
        <w:t xml:space="preserve">7. La suite, si vous voulez aller plus loin</w:t>
      </w:r>
    </w:p>
    <w:p>
      <w:pPr>
        <w:spacing w:after="200"/>
      </w:pPr>
      <w:r>
        <w:rPr>
          <w:sz w:val="20"/>
          <w:szCs w:val="20"/>
        </w:rPr>
        <w:t xml:space="preserve">Envoyez le fichier qui porte aujourd'hui votre traçabilité — le classeur Excel, la matrice, ce que vous avez. Nous vous disons ce qui entre dans Filum, ce qui n'y entre pas et ce que la reprise demande. Sans engagement, et sans démonstration préalable : si la réponse est « ça ne rentre pas », vous l'aurez appris sans y avoir passé une réunion.</w:t>
      </w:r>
    </w:p>
    <w:p>
      <w:pPr>
        <w:spacing w:after="0"/>
      </w:pPr>
      <w:r>
        <w:rPr>
          <w:i/>
          <w:iCs/>
          <w:color w:val="475569"/>
          <w:sz w:val="17"/>
          <w:szCs w:val="17"/>
        </w:rPr>
        <w:t xml:space="preserve">Ce document décrit l'état du logiciel en version 1.2.1, au 1 octobre 2026. Il est régénéré depuis le dépôt du produit, et non maintenu à la main : les écarts entre ce qu'il annonce et ce que le logiciel fait sont donc des défauts, pas des approximations commerciales. Si vous tenez une version plus ancienne que la vôtre, demandez-nous la note à jour.</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7"/>
        <w:szCs w:val="17"/>
      </w:rPr>
      <w:t xml:space="preserve">Version 1.2.1   ·   1 octobre 2026   ·   </w:t>
    </w:r>
    <w:r>
      <w:rPr>
        <w:color w:val="475569"/>
        <w:sz w:val="17"/>
        <w:szCs w:val="17"/>
      </w:rPr>
      <w:fldChar w:fldCharType="begin"/>
      <w:instrText xml:space="preserve">PAGE</w:instrText>
      <w:fldChar w:fldCharType="separate"/>
      <w:fldChar w:fldCharType="end"/>
    </w:r>
    <w:r>
      <w:rPr>
        <w:color w:val="475569"/>
        <w:sz w:val="17"/>
        <w:szCs w:val="17"/>
      </w:rPr>
      <w:t xml:space="preserve"> / </w:t>
    </w:r>
    <w:r>
      <w:rPr>
        <w:color w:val="475569"/>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475569"/>
        <w:sz w:val="17"/>
        <w:szCs w:val="17"/>
      </w:rPr>
      <w:t xml:space="preserve">Filum — périmètre du logiciel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pPr>
        <w:spacing w:after="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Filum — Périmètre du logiciel</dc:title>
  <dc:creator>Filum</dc:creator>
  <dc:description>Ce que fait le logiciel, ce qu'il ne fait pas, et ce qui reste à la charge du client.</dc:description>
  <cp:lastModifiedBy>Un-named</cp:lastModifiedBy>
  <cp:revision>1</cp:revision>
  <dcterms:created xsi:type="dcterms:W3CDTF">2026-10-01T11:27:51.262Z</dcterms:created>
  <dcterms:modified xsi:type="dcterms:W3CDTF">2026-10-01T11:27:51.263Z</dcterms:modified>
</cp:coreProperties>
</file>

<file path=docProps/custom.xml><?xml version="1.0" encoding="utf-8"?>
<Properties xmlns="http://schemas.openxmlformats.org/officeDocument/2006/custom-properties" xmlns:vt="http://schemas.openxmlformats.org/officeDocument/2006/docPropsVTypes"/>
</file>