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4338CA"/>
          <w:sz w:val="32"/>
          <w:szCs w:val="32"/>
        </w:rPr>
        <w:t xml:space="preserve">Filum</w:t>
      </w:r>
      <w:r>
        <w:rPr>
          <w:b/>
          <w:bCs/>
          <w:sz w:val="24"/>
          <w:szCs w:val="24"/>
        </w:rPr>
        <w:t xml:space="preserve">   ·   Ce que fait le logiciel, ce qu'il ne fait pas</w:t>
      </w:r>
    </w:p>
    <w:p>
      <w:pPr>
        <w:spacing w:after="140"/>
      </w:pPr>
      <w:r>
        <w:rPr>
          <w:color w:val="475569"/>
          <w:sz w:val="15"/>
          <w:szCs w:val="15"/>
        </w:rPr>
        <w:t xml:space="preserve">Filum relie besoins, exigences, spécifications, essais, preuves et risques dans un graphe unique, et projette les documents réglementaires depuis ce graphe. Conçu pour la R&amp;D de dispositifs médicaux et de DIV.</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CFCE7"/>
            <w:tcMar>
              <w:top w:type="dxa" w:w="80"/>
              <w:left w:type="dxa" w:w="110"/>
              <w:bottom w:type="dxa" w:w="80"/>
              <w:right w:type="dxa" w:w="110"/>
            </w:tcMar>
          </w:tcPr>
          <w:p>
            <w:pPr>
              <w:spacing w:after="0"/>
            </w:pPr>
            <w:r>
              <w:rPr>
                <w:b/>
                <w:bCs/>
                <w:color w:val="047857"/>
                <w:sz w:val="17"/>
                <w:szCs w:val="17"/>
              </w:rPr>
              <w:t xml:space="preserve">CE QUI EST EN PLACE</w:t>
            </w:r>
          </w:p>
        </w:tc>
        <w:tc>
          <w:tcPr>
            <w:tcW w:type="pct" w:w="50%"/>
            <w:shd w:fill="FEE2E2"/>
            <w:tcMar>
              <w:top w:type="dxa" w:w="80"/>
              <w:left w:type="dxa" w:w="110"/>
              <w:bottom w:type="dxa" w:w="80"/>
              <w:right w:type="dxa" w:w="110"/>
            </w:tcMar>
          </w:tcPr>
          <w:p>
            <w:pPr>
              <w:spacing w:after="0"/>
            </w:pPr>
            <w:r>
              <w:rPr>
                <w:b/>
                <w:bCs/>
                <w:color w:val="B91C1C"/>
                <w:sz w:val="17"/>
                <w:szCs w:val="17"/>
              </w:rPr>
              <w:t xml:space="preserve">CE QUI N'EXISTE PAS</w:t>
            </w:r>
          </w:p>
        </w:tc>
      </w:tr>
      <w:tr>
        <w:tc>
          <w:tcPr>
            <w:tcW w:type="pct" w:w="50%"/>
            <w:tcMar>
              <w:top w:type="dxa" w:w="80"/>
              <w:left w:type="dxa" w:w="110"/>
              <w:bottom w:type="dxa" w:w="80"/>
              <w:right w:type="dxa" w:w="110"/>
            </w:tcMar>
          </w:tcPr>
          <w:p>
            <w:pPr>
              <w:spacing w:after="20"/>
            </w:pPr>
            <w:r>
              <w:rPr>
                <w:b/>
                <w:bCs/>
                <w:sz w:val="17"/>
                <w:szCs w:val="17"/>
              </w:rPr>
              <w:t xml:space="preserve">Traçabilité</w:t>
            </w:r>
          </w:p>
          <w:p>
            <w:pPr>
              <w:spacing w:after="0"/>
            </w:pPr>
            <w:r>
              <w:rPr>
                <w:color w:val="475569"/>
                <w:sz w:val="15"/>
                <w:szCs w:val="15"/>
              </w:rPr>
              <w:t xml:space="preserve">Graphe besoin → exigence → spécification → essai → preuve. Matrice et analyse d'impact générées, jamais périmées.</w:t>
            </w:r>
          </w:p>
        </w:tc>
        <w:tc>
          <w:tcPr>
            <w:tcW w:type="pct" w:w="50%"/>
            <w:tcMar>
              <w:top w:type="dxa" w:w="80"/>
              <w:left w:type="dxa" w:w="110"/>
              <w:bottom w:type="dxa" w:w="80"/>
              <w:right w:type="dxa" w:w="110"/>
            </w:tcMar>
          </w:tcPr>
          <w:p>
            <w:pPr>
              <w:spacing w:after="20"/>
            </w:pPr>
            <w:r>
              <w:rPr>
                <w:b/>
                <w:bCs/>
                <w:color w:val="B91C1C"/>
                <w:sz w:val="17"/>
                <w:szCs w:val="17"/>
              </w:rPr>
              <w:t xml:space="preserve">Ce n'est pas un eQMS</w:t>
            </w:r>
          </w:p>
          <w:p>
            <w:pPr>
              <w:spacing w:after="0"/>
            </w:pPr>
            <w:r>
              <w:rPr>
                <w:color w:val="475569"/>
                <w:sz w:val="15"/>
                <w:szCs w:val="15"/>
              </w:rPr>
              <w:t xml:space="preserve">Ni formation, ni fournisseurs, ni réclamations, ni audits internes, ni revue de direction.</w:t>
            </w:r>
          </w:p>
        </w:tc>
      </w:tr>
      <w:tr>
        <w:tc>
          <w:tcPr>
            <w:tcW w:type="pct" w:w="50%"/>
            <w:tcMar>
              <w:top w:type="dxa" w:w="80"/>
              <w:left w:type="dxa" w:w="110"/>
              <w:bottom w:type="dxa" w:w="80"/>
              <w:right w:type="dxa" w:w="110"/>
            </w:tcMar>
          </w:tcPr>
          <w:p>
            <w:pPr>
              <w:spacing w:after="20"/>
            </w:pPr>
            <w:r>
              <w:rPr>
                <w:b/>
                <w:bCs/>
                <w:sz w:val="17"/>
                <w:szCs w:val="17"/>
              </w:rPr>
              <w:t xml:space="preserve">Qualité d'énoncé</w:t>
            </w:r>
          </w:p>
          <w:p>
            <w:pPr>
              <w:spacing w:after="0"/>
            </w:pPr>
            <w:r>
              <w:rPr>
                <w:color w:val="475569"/>
                <w:sz w:val="15"/>
                <w:szCs w:val="15"/>
              </w:rPr>
              <w:t xml:space="preserve">Contrôles déterministes à la frappe, gabarits EARS, reformulation proposée — jamais écrite.</w:t>
            </w:r>
          </w:p>
        </w:tc>
        <w:tc>
          <w:tcPr>
            <w:tcW w:type="pct" w:w="50%"/>
            <w:tcMar>
              <w:top w:type="dxa" w:w="80"/>
              <w:left w:type="dxa" w:w="110"/>
              <w:bottom w:type="dxa" w:w="80"/>
              <w:right w:type="dxa" w:w="110"/>
            </w:tcMar>
          </w:tcPr>
          <w:p>
            <w:pPr>
              <w:spacing w:after="20"/>
            </w:pPr>
            <w:r>
              <w:rPr>
                <w:b/>
                <w:bCs/>
                <w:color w:val="B91C1C"/>
                <w:sz w:val="17"/>
                <w:szCs w:val="17"/>
              </w:rPr>
              <w:t xml:space="preserve">Pas de gestion de configuration</w:t>
            </w:r>
          </w:p>
          <w:p>
            <w:pPr>
              <w:spacing w:after="0"/>
            </w:pPr>
            <w:r>
              <w:rPr>
                <w:color w:val="475569"/>
                <w:sz w:val="15"/>
                <w:szCs w:val="15"/>
              </w:rPr>
              <w:t xml:space="preserve">Ni ligne de base, ni article de configuration, ni comparaison entre deux états figés.</w:t>
            </w:r>
          </w:p>
        </w:tc>
      </w:tr>
      <w:tr>
        <w:tc>
          <w:tcPr>
            <w:tcW w:type="pct" w:w="50%"/>
            <w:tcMar>
              <w:top w:type="dxa" w:w="80"/>
              <w:left w:type="dxa" w:w="110"/>
              <w:bottom w:type="dxa" w:w="80"/>
              <w:right w:type="dxa" w:w="110"/>
            </w:tcMar>
          </w:tcPr>
          <w:p>
            <w:pPr>
              <w:spacing w:after="20"/>
            </w:pPr>
            <w:r>
              <w:rPr>
                <w:b/>
                <w:bCs/>
                <w:sz w:val="17"/>
                <w:szCs w:val="17"/>
              </w:rPr>
              <w:t xml:space="preserve">Gestion documentaire</w:t>
            </w:r>
          </w:p>
          <w:p>
            <w:pPr>
              <w:spacing w:after="0"/>
            </w:pPr>
            <w:r>
              <w:rPr>
                <w:color w:val="475569"/>
                <w:sz w:val="15"/>
                <w:szCs w:val="15"/>
              </w:rPr>
              <w:t xml:space="preserve">Brouillon → Revue → Publié, contenu gelé dès la mise en revue. NDR, DHF, RMF, NCR, CAPA générés en .docx.</w:t>
            </w:r>
          </w:p>
        </w:tc>
        <w:tc>
          <w:tcPr>
            <w:tcW w:type="pct" w:w="50%"/>
            <w:tcMar>
              <w:top w:type="dxa" w:w="80"/>
              <w:left w:type="dxa" w:w="110"/>
              <w:bottom w:type="dxa" w:w="80"/>
              <w:right w:type="dxa" w:w="110"/>
            </w:tcMar>
          </w:tcPr>
          <w:p>
            <w:pPr>
              <w:spacing w:after="20"/>
            </w:pPr>
            <w:r>
              <w:rPr>
                <w:b/>
                <w:bCs/>
                <w:color w:val="B91C1C"/>
                <w:sz w:val="17"/>
                <w:szCs w:val="17"/>
              </w:rPr>
              <w:t xml:space="preserve">IEC 62304 à l'état d'ébauche</w:t>
            </w:r>
          </w:p>
          <w:p>
            <w:pPr>
              <w:spacing w:after="0"/>
            </w:pPr>
            <w:r>
              <w:rPr>
                <w:color w:val="475569"/>
                <w:sz w:val="15"/>
                <w:szCs w:val="15"/>
              </w:rPr>
              <w:t xml:space="preserve">Pas de cycle de vie logiciel outillé, pas de suivi d'anomalies, pas de gestion des SOUP.</w:t>
            </w:r>
          </w:p>
        </w:tc>
      </w:tr>
      <w:tr>
        <w:tc>
          <w:tcPr>
            <w:tcW w:type="pct" w:w="50%"/>
            <w:tcMar>
              <w:top w:type="dxa" w:w="80"/>
              <w:left w:type="dxa" w:w="110"/>
              <w:bottom w:type="dxa" w:w="80"/>
              <w:right w:type="dxa" w:w="110"/>
            </w:tcMar>
          </w:tcPr>
          <w:p>
            <w:pPr>
              <w:spacing w:after="20"/>
            </w:pPr>
            <w:r>
              <w:rPr>
                <w:b/>
                <w:bCs/>
                <w:sz w:val="17"/>
                <w:szCs w:val="17"/>
              </w:rPr>
              <w:t xml:space="preserve">Signature électronique</w:t>
            </w:r>
          </w:p>
          <w:p>
            <w:pPr>
              <w:spacing w:after="0"/>
            </w:pPr>
            <w:r>
              <w:rPr>
                <w:color w:val="475569"/>
                <w:sz w:val="15"/>
                <w:szCs w:val="15"/>
              </w:rPr>
              <w:t xml:space="preserve">Deux composants à chaque signature, manifestation lisible, empreinte du contenu attesté.</w:t>
            </w:r>
          </w:p>
        </w:tc>
        <w:tc>
          <w:tcPr>
            <w:tcW w:type="pct" w:w="50%"/>
            <w:tcMar>
              <w:top w:type="dxa" w:w="80"/>
              <w:left w:type="dxa" w:w="110"/>
              <w:bottom w:type="dxa" w:w="80"/>
              <w:right w:type="dxa" w:w="110"/>
            </w:tcMar>
          </w:tcPr>
          <w:p>
            <w:pPr>
              <w:spacing w:after="20"/>
            </w:pPr>
            <w:r>
              <w:rPr>
                <w:b/>
                <w:bCs/>
                <w:color w:val="B91C1C"/>
                <w:sz w:val="17"/>
                <w:szCs w:val="17"/>
              </w:rPr>
              <w:t xml:space="preserve">Aucun canal sortant</w:t>
            </w:r>
          </w:p>
          <w:p>
            <w:pPr>
              <w:spacing w:after="0"/>
            </w:pPr>
            <w:r>
              <w:rPr>
                <w:color w:val="475569"/>
                <w:sz w:val="15"/>
                <w:szCs w:val="15"/>
              </w:rPr>
              <w:t xml:space="preserve">Filum n'envoie pas de courriel : ni notification, ni rappel d'échéance, ni relance d'approbateur.</w:t>
            </w:r>
          </w:p>
        </w:tc>
      </w:tr>
      <w:tr>
        <w:tc>
          <w:tcPr>
            <w:tcW w:type="pct" w:w="50%"/>
            <w:tcMar>
              <w:top w:type="dxa" w:w="80"/>
              <w:left w:type="dxa" w:w="110"/>
              <w:bottom w:type="dxa" w:w="80"/>
              <w:right w:type="dxa" w:w="110"/>
            </w:tcMar>
          </w:tcPr>
          <w:p>
            <w:pPr>
              <w:spacing w:after="20"/>
            </w:pPr>
            <w:r>
              <w:rPr>
                <w:b/>
                <w:bCs/>
                <w:sz w:val="17"/>
                <w:szCs w:val="17"/>
              </w:rPr>
              <w:t xml:space="preserve">Risque ISO 14971</w:t>
            </w:r>
          </w:p>
          <w:p>
            <w:pPr>
              <w:spacing w:after="0"/>
            </w:pPr>
            <w:r>
              <w:rPr>
                <w:color w:val="475569"/>
                <w:sz w:val="15"/>
                <w:szCs w:val="15"/>
              </w:rPr>
              <w:t xml:space="preserve">FMEA, matrice 5×5, ALARP. Une maîtrise n'est vérifiée que si les essais qui la portent sont clos favorablement.</w:t>
            </w:r>
          </w:p>
        </w:tc>
        <w:tc>
          <w:tcPr>
            <w:tcW w:type="pct" w:w="50%"/>
            <w:tcMar>
              <w:top w:type="dxa" w:w="80"/>
              <w:left w:type="dxa" w:w="110"/>
              <w:bottom w:type="dxa" w:w="80"/>
              <w:right w:type="dxa" w:w="110"/>
            </w:tcMar>
          </w:tcPr>
          <w:p>
            <w:pPr>
              <w:spacing w:after="20"/>
            </w:pPr>
            <w:r>
              <w:rPr>
                <w:b/>
                <w:bCs/>
                <w:color w:val="B91C1C"/>
                <w:sz w:val="17"/>
                <w:szCs w:val="17"/>
              </w:rPr>
              <w:t xml:space="preserve">Pas d'intégration à votre système d'information</w:t>
            </w:r>
          </w:p>
          <w:p>
            <w:pPr>
              <w:spacing w:after="0"/>
            </w:pPr>
            <w:r>
              <w:rPr>
                <w:color w:val="475569"/>
                <w:sz w:val="15"/>
                <w:szCs w:val="15"/>
              </w:rPr>
              <w:t xml:space="preserve">Ni webhook, ni connecteur PLM / ERP / ALM, ni ReqIF. Filum n'est pas un ERP et n'en tient pas lieu.</w:t>
            </w:r>
          </w:p>
        </w:tc>
      </w:tr>
      <w:tr>
        <w:tc>
          <w:tcPr>
            <w:tcW w:type="pct" w:w="50%"/>
            <w:tcMar>
              <w:top w:type="dxa" w:w="80"/>
              <w:left w:type="dxa" w:w="110"/>
              <w:bottom w:type="dxa" w:w="80"/>
              <w:right w:type="dxa" w:w="110"/>
            </w:tcMar>
          </w:tcPr>
          <w:p>
            <w:pPr>
              <w:spacing w:after="20"/>
            </w:pPr>
            <w:r>
              <w:rPr>
                <w:b/>
                <w:bCs/>
                <w:sz w:val="17"/>
                <w:szCs w:val="17"/>
              </w:rPr>
              <w:t xml:space="preserve">Validation de méthodes IVD</w:t>
            </w:r>
          </w:p>
          <w:p>
            <w:pPr>
              <w:spacing w:after="0"/>
            </w:pPr>
            <w:r>
              <w:rPr>
                <w:color w:val="475569"/>
                <w:sz w:val="15"/>
                <w:szCs w:val="15"/>
              </w:rPr>
              <w:t xml:space="preserve">Six protocoles CLSI calculés en interne — EP05, 06, 09, 17, 25, 26 — verdict conforme / non conforme automatique.</w:t>
            </w:r>
          </w:p>
        </w:tc>
        <w:tc>
          <w:tcPr>
            <w:tcW w:type="pct" w:w="50%"/>
            <w:tcMar>
              <w:top w:type="dxa" w:w="80"/>
              <w:left w:type="dxa" w:w="110"/>
              <w:bottom w:type="dxa" w:w="80"/>
              <w:right w:type="dxa" w:w="110"/>
            </w:tcMar>
          </w:tcPr>
          <w:p>
            <w:pPr>
              <w:spacing w:after="20"/>
            </w:pPr>
            <w:r>
              <w:rPr>
                <w:b/>
                <w:bCs/>
                <w:color w:val="B91C1C"/>
                <w:sz w:val="17"/>
                <w:szCs w:val="17"/>
              </w:rPr>
              <w:t xml:space="preserve">Une installation, une organisation</w:t>
            </w:r>
          </w:p>
          <w:p>
            <w:pPr>
              <w:spacing w:after="0"/>
            </w:pPr>
            <w:r>
              <w:rPr>
                <w:color w:val="475569"/>
                <w:sz w:val="15"/>
                <w:szCs w:val="15"/>
              </w:rPr>
              <w:t xml:space="preserve">Pas de multi-locataire : l'isolement se fait par instance, une par entité.</w:t>
            </w:r>
          </w:p>
        </w:tc>
      </w:tr>
      <w:tr>
        <w:tc>
          <w:tcPr>
            <w:tcW w:type="pct" w:w="50%"/>
            <w:tcMar>
              <w:top w:type="dxa" w:w="80"/>
              <w:left w:type="dxa" w:w="110"/>
              <w:bottom w:type="dxa" w:w="80"/>
              <w:right w:type="dxa" w:w="110"/>
            </w:tcMar>
          </w:tcPr>
          <w:p>
            <w:pPr>
              <w:spacing w:after="20"/>
            </w:pPr>
            <w:r>
              <w:rPr>
                <w:b/>
                <w:bCs/>
                <w:sz w:val="17"/>
                <w:szCs w:val="17"/>
              </w:rPr>
              <w:t xml:space="preserve">Non-conformités et CAPA</w:t>
            </w:r>
          </w:p>
          <w:p>
            <w:pPr>
              <w:spacing w:after="0"/>
            </w:pPr>
            <w:r>
              <w:rPr>
                <w:color w:val="475569"/>
                <w:sz w:val="15"/>
                <w:szCs w:val="15"/>
              </w:rPr>
              <w:t xml:space="preserve">Cycles verrouillés. Pas de clôture sans efficacité prouvée par un essai repassé favorable.</w:t>
            </w:r>
          </w:p>
        </w:tc>
        <w:tc>
          <w:tcPr>
            <w:tcW w:type="pct" w:w="50%"/>
            <w:tcMar>
              <w:top w:type="dxa" w:w="80"/>
              <w:left w:type="dxa" w:w="110"/>
              <w:bottom w:type="dxa" w:w="80"/>
              <w:right w:type="dxa" w:w="110"/>
            </w:tcMar>
          </w:tcPr>
          <w:p>
            <w:pPr>
              <w:spacing w:after="20"/>
            </w:pPr>
            <w:r>
              <w:rPr>
                <w:b/>
                <w:bCs/>
                <w:color w:val="B91C1C"/>
                <w:sz w:val="17"/>
                <w:szCs w:val="17"/>
              </w:rPr>
              <w:t xml:space="preserve">On ne signe que ce que Filum produit</w:t>
            </w:r>
          </w:p>
          <w:p>
            <w:pPr>
              <w:spacing w:after="0"/>
            </w:pPr>
            <w:r>
              <w:rPr>
                <w:color w:val="475569"/>
                <w:sz w:val="15"/>
                <w:szCs w:val="15"/>
              </w:rPr>
              <w:t xml:space="preserve">Pas de signature d'un PDF déposé ni d'un fichier venu d'ailleurs.</w:t>
            </w:r>
          </w:p>
        </w:tc>
      </w:tr>
      <w:tr>
        <w:tc>
          <w:tcPr>
            <w:tcW w:type="pct" w:w="50%"/>
            <w:tcMar>
              <w:top w:type="dxa" w:w="80"/>
              <w:left w:type="dxa" w:w="110"/>
              <w:bottom w:type="dxa" w:w="80"/>
              <w:right w:type="dxa" w:w="110"/>
            </w:tcMar>
          </w:tcPr>
          <w:p>
            <w:pPr>
              <w:spacing w:after="20"/>
            </w:pPr>
            <w:r>
              <w:rPr>
                <w:b/>
                <w:bCs/>
                <w:sz w:val="17"/>
                <w:szCs w:val="17"/>
              </w:rPr>
              <w:t xml:space="preserve">Dossier technique</w:t>
            </w:r>
          </w:p>
          <w:p>
            <w:pPr>
              <w:spacing w:after="0"/>
            </w:pPr>
            <w:r>
              <w:rPr>
                <w:color w:val="475569"/>
                <w:sz w:val="15"/>
                <w:szCs w:val="15"/>
              </w:rPr>
              <w:t xml:space="preserve">Le paquet qu'un inspecteur demande : index sur 50 éléments réglementaires, statuts déduits du graphe.</w:t>
            </w:r>
          </w:p>
        </w:tc>
        <w:tc>
          <w:tcPr>
            <w:tcW w:type="pct" w:w="50%"/>
            <w:tcMar>
              <w:top w:type="dxa" w:w="80"/>
              <w:left w:type="dxa" w:w="110"/>
              <w:bottom w:type="dxa" w:w="80"/>
              <w:right w:type="dxa" w:w="110"/>
            </w:tcMar>
          </w:tcPr>
          <w:p>
            <w:pPr>
              <w:spacing w:after="20"/>
            </w:pPr>
            <w:r>
              <w:rPr>
                <w:b/>
                <w:bCs/>
                <w:color w:val="B91C1C"/>
                <w:sz w:val="17"/>
                <w:szCs w:val="17"/>
              </w:rPr>
              <w:t xml:space="preserve">Les entrées d'audit déjà écrites ne se retraduisent pas</w:t>
            </w:r>
          </w:p>
          <w:p>
            <w:pPr>
              <w:spacing w:after="0"/>
            </w:pPr>
            <w:r>
              <w:rPr>
                <w:color w:val="475569"/>
                <w:sz w:val="15"/>
                <w:szCs w:val="15"/>
              </w:rPr>
              <w:t xml:space="preserve">La piste est bilingue ; ce qui a été inscrit avant reste dans sa langue.</w:t>
            </w:r>
          </w:p>
        </w:tc>
      </w:tr>
      <w:tr>
        <w:tc>
          <w:tcPr>
            <w:tcW w:type="pct" w:w="50%"/>
            <w:tcMar>
              <w:top w:type="dxa" w:w="80"/>
              <w:left w:type="dxa" w:w="110"/>
              <w:bottom w:type="dxa" w:w="80"/>
              <w:right w:type="dxa" w:w="110"/>
            </w:tcMar>
          </w:tcPr>
          <w:p>
            <w:pPr>
              <w:spacing w:after="20"/>
            </w:pPr>
            <w:r>
              <w:rPr>
                <w:b/>
                <w:bCs/>
                <w:sz w:val="17"/>
                <w:szCs w:val="17"/>
              </w:rPr>
              <w:t xml:space="preserve">Conformité du logiciel</w:t>
            </w:r>
          </w:p>
          <w:p>
            <w:pPr>
              <w:spacing w:after="0"/>
            </w:pPr>
            <w:r>
              <w:rPr>
                <w:color w:val="475569"/>
                <w:sz w:val="15"/>
                <w:szCs w:val="15"/>
              </w:rPr>
              <w:t xml:space="preserve">Piste d'audit chaînée ET REVUE, archive vérifiable hors Filum, horodatage RFC 3161, rétention déclarée, conservation légale.</w:t>
            </w:r>
          </w:p>
        </w:tc>
        <w:tc>
          <w:tcPr>
            <w:tcW w:type="pct" w:w="50%"/>
            <w:tcMar>
              <w:top w:type="dxa" w:w="80"/>
              <w:left w:type="dxa" w:w="110"/>
              <w:bottom w:type="dxa" w:w="80"/>
              <w:right w:type="dxa" w:w="110"/>
            </w:tcMar>
          </w:tcPr>
          <w:p>
            <w:pPr>
              <w:spacing w:after="20"/>
            </w:pPr>
            <w:r>
              <w:rPr>
                <w:b/>
                <w:bCs/>
                <w:color w:val="B91C1C"/>
                <w:sz w:val="17"/>
                <w:szCs w:val="17"/>
              </w:rPr>
              <w:t xml:space="preserve">Les utilisateurs simultanés ne sont pas qualifiés</w:t>
            </w:r>
          </w:p>
          <w:p>
            <w:pPr>
              <w:spacing w:after="0"/>
            </w:pPr>
            <w:r>
              <w:rPr>
                <w:color w:val="475569"/>
                <w:sz w:val="15"/>
                <w:szCs w:val="15"/>
              </w:rPr>
              <w:t xml:space="preserve">La montée en volume est mesurée ; la simultanéité ne l'est pas.</w:t>
            </w:r>
          </w:p>
        </w:tc>
      </w:tr>
      <w:tr>
        <w:tc>
          <w:tcPr>
            <w:tcW w:type="pct" w:w="50%"/>
            <w:tcMar>
              <w:top w:type="dxa" w:w="80"/>
              <w:left w:type="dxa" w:w="110"/>
              <w:bottom w:type="dxa" w:w="80"/>
              <w:right w:type="dxa" w:w="110"/>
            </w:tcMar>
          </w:tcPr>
          <w:p>
            <w:pPr>
              <w:spacing w:after="20"/>
            </w:pPr>
            <w:r>
              <w:rPr>
                <w:b/>
                <w:bCs/>
                <w:sz w:val="17"/>
                <w:szCs w:val="17"/>
              </w:rPr>
              <w:t xml:space="preserve">Reprise de vos données</w:t>
            </w:r>
          </w:p>
          <w:p>
            <w:pPr>
              <w:spacing w:after="0"/>
            </w:pPr>
            <w:r>
              <w:rPr>
                <w:color w:val="475569"/>
                <w:sz w:val="15"/>
                <w:szCs w:val="15"/>
              </w:rPr>
              <w:t xml:space="preserve">Vos classeurs Excel et documents Word tels quels, liens résolus par VOS codes, aperçu à blanc obligatoire avant toute écriture.</w:t>
            </w:r>
          </w:p>
        </w:tc>
        <w:tc>
          <w:tcPr>
            <w:tcW w:type="pct" w:w="50%"/>
            <w:tcMar>
              <w:top w:type="dxa" w:w="80"/>
              <w:left w:type="dxa" w:w="110"/>
              <w:bottom w:type="dxa" w:w="80"/>
              <w:right w:type="dxa" w:w="110"/>
            </w:tcMar>
          </w:tcPr>
          <w:p>
            <w:pPr>
              <w:spacing w:after="20"/>
            </w:pPr>
            <w:r>
              <w:rPr>
                <w:b/>
                <w:bCs/>
                <w:color w:val="B91C1C"/>
                <w:sz w:val="17"/>
                <w:szCs w:val="17"/>
              </w:rPr>
              <w:t xml:space="preserve">Ni application mobile, ni mode hors ligne</w:t>
            </w:r>
          </w:p>
          <w:p>
            <w:pPr>
              <w:spacing w:after="0"/>
            </w:pPr>
            <w:r>
              <w:rPr>
                <w:color w:val="475569"/>
                <w:sz w:val="15"/>
                <w:szCs w:val="15"/>
              </w:rPr>
              <w:t xml:space="preserve">Application web servie par votre serveur, pour écran d'ordinateur.</w:t>
            </w:r>
          </w:p>
        </w:tc>
      </w:tr>
      <w:tr>
        <w:tc>
          <w:tcPr>
            <w:tcW w:type="pct" w:w="50%"/>
            <w:tcMar>
              <w:top w:type="dxa" w:w="80"/>
              <w:left w:type="dxa" w:w="110"/>
              <w:bottom w:type="dxa" w:w="80"/>
              <w:right w:type="dxa" w:w="110"/>
            </w:tcMar>
          </w:tcPr>
          <w:p>
            <w:pPr>
              <w:spacing w:after="20"/>
            </w:pPr>
            <w:r>
              <w:rPr>
                <w:b/>
                <w:bCs/>
                <w:sz w:val="17"/>
                <w:szCs w:val="17"/>
              </w:rPr>
              <w:t xml:space="preserve">Exploitation</w:t>
            </w:r>
          </w:p>
          <w:p>
            <w:pPr>
              <w:spacing w:after="0"/>
            </w:pPr>
            <w:r>
              <w:rPr>
                <w:color w:val="475569"/>
                <w:sz w:val="15"/>
                <w:szCs w:val="15"/>
              </w:rPr>
              <w:t xml:space="preserve">Docker auto-hébergé, interface FR / EN, quatre rôles, pack de validation IQ/OQ remis.</w:t>
            </w:r>
          </w:p>
        </w:tc>
        <w:tc>
          <w:tcPr>
            <w:tcW w:type="pct" w:w="50%"/>
            <w:tcMar>
              <w:top w:type="dxa" w:w="80"/>
              <w:left w:type="dxa" w:w="110"/>
              <w:bottom w:type="dxa" w:w="80"/>
              <w:right w:type="dxa" w:w="110"/>
            </w:tcMar>
          </w:tcPr>
          <w:p>
            <w:pPr>
              <w:spacing w:after="0"/>
            </w:pPr>
            <w:r>
              <w:rPr>
                <w:sz w:val="15"/>
                <w:szCs w:val="15"/>
              </w:rPr>
              <w:t xml:space="preserve"/>
            </w:r>
          </w:p>
        </w:tc>
      </w:tr>
    </w:tbl>
    <w:p>
      <w:pPr>
        <w:spacing w:after="120" w:before="180"/>
      </w:pPr>
      <w:r>
        <w:rPr>
          <w:b/>
          <w:bCs/>
          <w:color w:val="B91C1C"/>
          <w:sz w:val="17"/>
          <w:szCs w:val="17"/>
        </w:rPr>
        <w:t xml:space="preserve">Filum ne vous conviendra probablement pas si : </w:t>
      </w:r>
      <w:r>
        <w:rPr>
          <w:color w:val="475569"/>
          <w:sz w:val="15"/>
          <w:szCs w:val="15"/>
        </w:rPr>
        <w:t xml:space="preserve">vous cherchez un système qualité complet (formation, fournisseurs, réclamations, audits)  ·  votre dispositif est d'abord un logiciel et vous attendez une chaîne IEC 62304 outillée  ·  il vous faut une intégration PLM, ERP ou ALM  ·  vous voulez un SaaS multi-locataire administré par l'éditeur  ·  vous attendez d'un fournisseur qu'il se déclare « conforme 21 CFR Part 11 »</w:t>
      </w:r>
    </w:p>
    <w:p>
      <w:pPr>
        <w:spacing w:after="120"/>
      </w:pPr>
      <w:r>
        <w:rPr>
          <w:b/>
          <w:bCs/>
          <w:color w:val="4338CA"/>
          <w:sz w:val="17"/>
          <w:szCs w:val="17"/>
        </w:rPr>
        <w:t xml:space="preserve">La suite : </w:t>
      </w:r>
      <w:r>
        <w:rPr>
          <w:sz w:val="15"/>
          <w:szCs w:val="15"/>
        </w:rPr>
        <w:t xml:space="preserve">envoyez le fichier qui porte aujourd'hui votre traçabilité — classeur Excel, matrice, ce que vous avez. Nous vous disons ce qui entre dans Filum, ce qui n'y entre pas et ce que la reprise demande. Sans engagement, et sans démonstration préalable.</w:t>
      </w:r>
    </w:p>
    <w:p>
      <w:pPr>
        <w:spacing w:after="0"/>
      </w:pPr>
      <w:r>
        <w:rPr>
          <w:i/>
          <w:iCs/>
          <w:color w:val="475569"/>
          <w:sz w:val="13"/>
          <w:szCs w:val="13"/>
        </w:rPr>
        <w:t xml:space="preserve">Filum 1.2.1 · 1 octobre 2026 · garaukev@gmail.com · La note de périmètre complète — dont ce qui reste à votre charge et les trois choix assumés — fait trois pages et vous est remise sur demande. Nous n'écrivons jamais « conforme 21 CFR Part 11 » : cette certification engage l'entité dont les collaborateurs signent, pas l'éditeur.</w:t>
      </w:r>
    </w:p>
    <w:sectPr>
      <w:pgSz w:w="11906" w:h="16838" w:orient="portrait"/>
      <w:pgMar w:top="620" w:right="620" w:bottom="620" w:left="6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pPr>
        <w:spacing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Filum — Périmètre du logiciel</dc:title>
  <dc:creator>Filum</dc:creator>
  <dc:description>Ce que fait le logiciel, ce qu'il ne fait pas, et ce qui reste à la charge du client.</dc:description>
  <cp:lastModifiedBy>Un-named</cp:lastModifiedBy>
  <cp:revision>1</cp:revision>
  <dcterms:created xsi:type="dcterms:W3CDTF">2026-10-01T11:28:05.503Z</dcterms:created>
  <dcterms:modified xsi:type="dcterms:W3CDTF">2026-10-01T11:28:05.503Z</dcterms:modified>
</cp:coreProperties>
</file>

<file path=docProps/custom.xml><?xml version="1.0" encoding="utf-8"?>
<Properties xmlns="http://schemas.openxmlformats.org/officeDocument/2006/custom-properties" xmlns:vt="http://schemas.openxmlformats.org/officeDocument/2006/docPropsVTypes"/>
</file>